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1C2E" w14:textId="77777777" w:rsidR="00DC57D8" w:rsidRDefault="00DC57D8">
      <w:pPr>
        <w:spacing w:line="600" w:lineRule="exact"/>
        <w:jc w:val="left"/>
        <w:outlineLvl w:val="0"/>
        <w:rPr>
          <w:rFonts w:ascii="方正小标宋简体" w:eastAsia="方正小标宋简体" w:hAnsi="宋体"/>
          <w:color w:val="000000"/>
          <w:sz w:val="30"/>
          <w:szCs w:val="30"/>
        </w:rPr>
      </w:pPr>
      <w:bookmarkStart w:id="0" w:name="_Toc15306267"/>
    </w:p>
    <w:p w14:paraId="6905133C" w14:textId="77777777" w:rsidR="00DC57D8" w:rsidRDefault="00DC57D8">
      <w:pPr>
        <w:spacing w:line="600" w:lineRule="exact"/>
        <w:jc w:val="center"/>
        <w:outlineLvl w:val="0"/>
        <w:rPr>
          <w:rFonts w:ascii="方正小标宋简体" w:eastAsia="方正小标宋简体" w:hAnsi="宋体"/>
          <w:color w:val="000000"/>
          <w:sz w:val="72"/>
          <w:szCs w:val="72"/>
        </w:rPr>
      </w:pPr>
    </w:p>
    <w:p w14:paraId="02BFCED3" w14:textId="77777777" w:rsidR="00DC57D8" w:rsidRDefault="00DC57D8">
      <w:pPr>
        <w:spacing w:line="600" w:lineRule="exact"/>
        <w:jc w:val="center"/>
        <w:outlineLvl w:val="0"/>
        <w:rPr>
          <w:rFonts w:ascii="方正小标宋简体" w:eastAsia="方正小标宋简体" w:hAnsi="宋体"/>
          <w:color w:val="000000"/>
          <w:sz w:val="72"/>
          <w:szCs w:val="72"/>
        </w:rPr>
      </w:pPr>
    </w:p>
    <w:p w14:paraId="136E28F5" w14:textId="77777777" w:rsidR="00DC57D8" w:rsidRDefault="00DC57D8">
      <w:pPr>
        <w:spacing w:line="600" w:lineRule="exact"/>
        <w:jc w:val="center"/>
        <w:outlineLvl w:val="0"/>
        <w:rPr>
          <w:rFonts w:ascii="方正小标宋简体" w:eastAsia="方正小标宋简体" w:hAnsi="宋体"/>
          <w:color w:val="000000"/>
          <w:sz w:val="72"/>
          <w:szCs w:val="72"/>
        </w:rPr>
      </w:pPr>
    </w:p>
    <w:p w14:paraId="0425EA3E" w14:textId="77777777" w:rsidR="00DC57D8" w:rsidRDefault="00000000">
      <w:pPr>
        <w:adjustRightInd w:val="0"/>
        <w:snapToGrid w:val="0"/>
        <w:spacing w:line="360" w:lineRule="auto"/>
        <w:jc w:val="center"/>
        <w:outlineLvl w:val="0"/>
        <w:rPr>
          <w:rFonts w:ascii="方正小标宋简体" w:eastAsia="方正小标宋简体" w:hAnsi="方正小标宋简体" w:cs="方正小标宋简体"/>
          <w:color w:val="000000"/>
          <w:sz w:val="52"/>
          <w:szCs w:val="52"/>
        </w:rPr>
      </w:pPr>
      <w:bookmarkStart w:id="1" w:name="_Toc15396475"/>
      <w:bookmarkStart w:id="2" w:name="_Toc15378441"/>
      <w:bookmarkStart w:id="3" w:name="_Toc15396597"/>
      <w:bookmarkStart w:id="4" w:name="_Toc15377425"/>
      <w:bookmarkStart w:id="5" w:name="_Toc15377193"/>
      <w:bookmarkStart w:id="6" w:name="_Toc119075168"/>
      <w:r>
        <w:rPr>
          <w:rFonts w:ascii="方正小标宋简体" w:eastAsia="方正小标宋简体" w:hAnsi="方正小标宋简体" w:cs="方正小标宋简体" w:hint="eastAsia"/>
          <w:color w:val="000000"/>
          <w:sz w:val="52"/>
          <w:szCs w:val="52"/>
        </w:rPr>
        <w:t>2020年度</w:t>
      </w:r>
      <w:bookmarkStart w:id="7" w:name="_Toc15377194"/>
      <w:bookmarkStart w:id="8" w:name="_Toc15377426"/>
      <w:bookmarkStart w:id="9" w:name="_Toc15396598"/>
      <w:bookmarkStart w:id="10" w:name="_Toc15378442"/>
      <w:bookmarkStart w:id="11" w:name="_Toc15396476"/>
      <w:bookmarkEnd w:id="1"/>
      <w:bookmarkEnd w:id="2"/>
      <w:bookmarkEnd w:id="3"/>
      <w:bookmarkEnd w:id="4"/>
      <w:bookmarkEnd w:id="5"/>
      <w:bookmarkEnd w:id="6"/>
    </w:p>
    <w:p w14:paraId="3D980F96" w14:textId="77777777" w:rsidR="00DC57D8" w:rsidRDefault="00000000">
      <w:pPr>
        <w:adjustRightInd w:val="0"/>
        <w:snapToGrid w:val="0"/>
        <w:spacing w:line="360" w:lineRule="auto"/>
        <w:jc w:val="center"/>
        <w:outlineLvl w:val="0"/>
        <w:rPr>
          <w:rFonts w:ascii="方正小标宋简体" w:eastAsia="方正小标宋简体" w:hAnsi="方正小标宋简体" w:cs="方正小标宋简体"/>
          <w:color w:val="000000"/>
          <w:sz w:val="52"/>
          <w:szCs w:val="52"/>
        </w:rPr>
      </w:pPr>
      <w:bookmarkStart w:id="12" w:name="_Toc119070444"/>
      <w:bookmarkStart w:id="13" w:name="_Toc119075169"/>
      <w:r>
        <w:rPr>
          <w:rFonts w:ascii="方正小标宋简体" w:eastAsia="方正小标宋简体" w:hAnsi="方正小标宋简体" w:cs="方正小标宋简体" w:hint="eastAsia"/>
          <w:color w:val="000000"/>
          <w:sz w:val="52"/>
          <w:szCs w:val="52"/>
        </w:rPr>
        <w:t>四川省</w:t>
      </w:r>
      <w:bookmarkStart w:id="14" w:name="_Toc15306268"/>
      <w:bookmarkEnd w:id="0"/>
      <w:r>
        <w:rPr>
          <w:rFonts w:ascii="方正小标宋简体" w:eastAsia="方正小标宋简体" w:hAnsi="方正小标宋简体" w:cs="方正小标宋简体" w:hint="eastAsia"/>
          <w:color w:val="000000"/>
          <w:sz w:val="52"/>
          <w:szCs w:val="52"/>
        </w:rPr>
        <w:t>地质调查院单位决算</w:t>
      </w:r>
      <w:bookmarkEnd w:id="7"/>
      <w:bookmarkEnd w:id="8"/>
      <w:bookmarkEnd w:id="9"/>
      <w:bookmarkEnd w:id="10"/>
      <w:bookmarkEnd w:id="11"/>
      <w:bookmarkEnd w:id="12"/>
      <w:bookmarkEnd w:id="13"/>
      <w:bookmarkEnd w:id="14"/>
    </w:p>
    <w:p w14:paraId="0D9AB6C7" w14:textId="77777777" w:rsidR="00DC57D8" w:rsidRDefault="00000000">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14:paraId="03629623" w14:textId="77777777" w:rsidR="00DC57D8" w:rsidRDefault="00000000">
      <w:pPr>
        <w:pStyle w:val="TOC1"/>
      </w:pPr>
      <w:r>
        <w:rPr>
          <w:rFonts w:hint="eastAsia"/>
        </w:rPr>
        <w:t>公开时间：2021年9月10日</w:t>
      </w:r>
    </w:p>
    <w:bookmarkStart w:id="15" w:name="_Toc15396599" w:displacedByCustomXml="next"/>
    <w:bookmarkStart w:id="16" w:name="_Toc15377196" w:displacedByCustomXml="next"/>
    <w:sdt>
      <w:sdtPr>
        <w:rPr>
          <w:lang w:val="zh-CN"/>
        </w:rPr>
        <w:id w:val="1630900570"/>
        <w:docPartObj>
          <w:docPartGallery w:val="Table of Contents"/>
          <w:docPartUnique/>
        </w:docPartObj>
      </w:sdtPr>
      <w:sdtEndPr>
        <w:rPr>
          <w:rFonts w:asciiTheme="minorEastAsia" w:eastAsiaTheme="minorEastAsia" w:hAnsiTheme="minorEastAsia"/>
          <w:sz w:val="24"/>
        </w:rPr>
      </w:sdtEndPr>
      <w:sdtContent>
        <w:p w14:paraId="4165792B" w14:textId="33F5D0EB" w:rsidR="00BB361D" w:rsidRPr="00BB361D" w:rsidRDefault="00447CDA" w:rsidP="00BB361D">
          <w:pPr>
            <w:rPr>
              <w:rFonts w:ascii="仿宋" w:eastAsia="仿宋" w:hAnsi="仿宋"/>
              <w:noProof/>
              <w:sz w:val="24"/>
            </w:rPr>
          </w:pPr>
          <w:r w:rsidRPr="00447CDA">
            <w:fldChar w:fldCharType="begin"/>
          </w:r>
          <w:r w:rsidRPr="00447CDA">
            <w:instrText xml:space="preserve"> TOC \o "1-3" \h \z \u </w:instrText>
          </w:r>
          <w:r w:rsidRPr="00447CDA">
            <w:fldChar w:fldCharType="separate"/>
          </w:r>
        </w:p>
        <w:p w14:paraId="6CE6319F" w14:textId="44F17613" w:rsidR="00BB361D" w:rsidRPr="00BB361D" w:rsidRDefault="00BB361D" w:rsidP="00BB361D">
          <w:pPr>
            <w:pStyle w:val="TOC1"/>
            <w:spacing w:line="360" w:lineRule="auto"/>
            <w:jc w:val="both"/>
            <w:rPr>
              <w:rFonts w:cstheme="minorBidi"/>
              <w:noProof/>
              <w:sz w:val="24"/>
              <w:szCs w:val="24"/>
            </w:rPr>
          </w:pPr>
          <w:hyperlink w:anchor="_Toc119075170" w:history="1">
            <w:r w:rsidRPr="00BB361D">
              <w:rPr>
                <w:rStyle w:val="ae"/>
                <w:noProof/>
                <w:sz w:val="24"/>
                <w:szCs w:val="24"/>
              </w:rPr>
              <w:t>第一部分 单位概况</w:t>
            </w:r>
            <w:r w:rsidRPr="00BB361D">
              <w:rPr>
                <w:noProof/>
                <w:webHidden/>
                <w:sz w:val="24"/>
                <w:szCs w:val="24"/>
              </w:rPr>
              <w:tab/>
            </w:r>
            <w:r w:rsidRPr="00BB361D">
              <w:rPr>
                <w:noProof/>
                <w:webHidden/>
                <w:sz w:val="24"/>
                <w:szCs w:val="24"/>
              </w:rPr>
              <w:fldChar w:fldCharType="begin"/>
            </w:r>
            <w:r w:rsidRPr="00BB361D">
              <w:rPr>
                <w:noProof/>
                <w:webHidden/>
                <w:sz w:val="24"/>
                <w:szCs w:val="24"/>
              </w:rPr>
              <w:instrText xml:space="preserve"> PAGEREF _Toc119075170 \h </w:instrText>
            </w:r>
            <w:r w:rsidRPr="00BB361D">
              <w:rPr>
                <w:noProof/>
                <w:webHidden/>
                <w:sz w:val="24"/>
                <w:szCs w:val="24"/>
              </w:rPr>
            </w:r>
            <w:r w:rsidRPr="00BB361D">
              <w:rPr>
                <w:noProof/>
                <w:webHidden/>
                <w:sz w:val="24"/>
                <w:szCs w:val="24"/>
              </w:rPr>
              <w:fldChar w:fldCharType="separate"/>
            </w:r>
            <w:r w:rsidRPr="00BB361D">
              <w:rPr>
                <w:noProof/>
                <w:webHidden/>
                <w:sz w:val="24"/>
                <w:szCs w:val="24"/>
              </w:rPr>
              <w:t>1</w:t>
            </w:r>
            <w:r w:rsidRPr="00BB361D">
              <w:rPr>
                <w:noProof/>
                <w:webHidden/>
                <w:sz w:val="24"/>
                <w:szCs w:val="24"/>
              </w:rPr>
              <w:fldChar w:fldCharType="end"/>
            </w:r>
          </w:hyperlink>
        </w:p>
        <w:p w14:paraId="560A9A25" w14:textId="5B1C12DE" w:rsidR="00BB361D" w:rsidRPr="00BB361D" w:rsidRDefault="00BB361D" w:rsidP="00BB361D">
          <w:pPr>
            <w:pStyle w:val="TOC2"/>
            <w:spacing w:line="360" w:lineRule="auto"/>
            <w:rPr>
              <w:rFonts w:ascii="仿宋" w:eastAsia="仿宋" w:hAnsi="仿宋" w:cstheme="minorBidi"/>
              <w:noProof/>
              <w:sz w:val="24"/>
            </w:rPr>
          </w:pPr>
          <w:hyperlink w:anchor="_Toc119075171" w:history="1">
            <w:r w:rsidRPr="00BB361D">
              <w:rPr>
                <w:rStyle w:val="ae"/>
                <w:rFonts w:ascii="仿宋" w:eastAsia="仿宋" w:hAnsi="仿宋"/>
                <w:noProof/>
                <w:sz w:val="24"/>
              </w:rPr>
              <w:t>一、 职能简介</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_Toc119075171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w:t>
            </w:r>
            <w:r w:rsidRPr="00BB361D">
              <w:rPr>
                <w:rFonts w:ascii="仿宋" w:eastAsia="仿宋" w:hAnsi="仿宋"/>
                <w:noProof/>
                <w:webHidden/>
                <w:sz w:val="24"/>
              </w:rPr>
              <w:fldChar w:fldCharType="end"/>
            </w:r>
          </w:hyperlink>
        </w:p>
        <w:p w14:paraId="6FC8612B" w14:textId="0B31B879" w:rsidR="00BB361D" w:rsidRPr="00BB361D" w:rsidRDefault="00BB361D" w:rsidP="00BB361D">
          <w:pPr>
            <w:pStyle w:val="TOC2"/>
            <w:spacing w:line="360" w:lineRule="auto"/>
            <w:rPr>
              <w:rFonts w:ascii="仿宋" w:eastAsia="仿宋" w:hAnsi="仿宋" w:cstheme="minorBidi"/>
              <w:noProof/>
              <w:sz w:val="24"/>
            </w:rPr>
          </w:pPr>
          <w:hyperlink w:anchor="_Toc119075172" w:history="1">
            <w:r w:rsidRPr="00BB361D">
              <w:rPr>
                <w:rStyle w:val="ae"/>
                <w:rFonts w:ascii="仿宋" w:eastAsia="仿宋" w:hAnsi="仿宋"/>
                <w:noProof/>
                <w:sz w:val="24"/>
              </w:rPr>
              <w:t>二、 2020年重点工作完成情况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_Toc119075172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w:t>
            </w:r>
            <w:r w:rsidRPr="00BB361D">
              <w:rPr>
                <w:rFonts w:ascii="仿宋" w:eastAsia="仿宋" w:hAnsi="仿宋"/>
                <w:noProof/>
                <w:webHidden/>
                <w:sz w:val="24"/>
              </w:rPr>
              <w:fldChar w:fldCharType="end"/>
            </w:r>
          </w:hyperlink>
        </w:p>
        <w:p w14:paraId="7544A5C1" w14:textId="3DA66D92" w:rsidR="00BB361D" w:rsidRPr="00BB361D" w:rsidRDefault="00BB361D" w:rsidP="00BB361D">
          <w:pPr>
            <w:pStyle w:val="TOC2"/>
            <w:spacing w:line="360" w:lineRule="auto"/>
            <w:rPr>
              <w:rFonts w:ascii="仿宋" w:eastAsia="仿宋" w:hAnsi="仿宋" w:cstheme="minorBidi"/>
              <w:noProof/>
              <w:sz w:val="24"/>
            </w:rPr>
          </w:pPr>
          <w:hyperlink w:anchor="_Toc119075173" w:history="1">
            <w:r w:rsidRPr="00BB361D">
              <w:rPr>
                <w:rStyle w:val="ae"/>
                <w:rFonts w:ascii="仿宋" w:eastAsia="仿宋" w:hAnsi="仿宋"/>
                <w:noProof/>
                <w:sz w:val="24"/>
              </w:rPr>
              <w:t>三、 机构设置情况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_Toc119075173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w:t>
            </w:r>
            <w:r w:rsidRPr="00BB361D">
              <w:rPr>
                <w:rFonts w:ascii="仿宋" w:eastAsia="仿宋" w:hAnsi="仿宋"/>
                <w:noProof/>
                <w:webHidden/>
                <w:sz w:val="24"/>
              </w:rPr>
              <w:fldChar w:fldCharType="end"/>
            </w:r>
          </w:hyperlink>
        </w:p>
        <w:p w14:paraId="6597D61F" w14:textId="15D1274D" w:rsidR="00BB361D" w:rsidRPr="00BB361D" w:rsidRDefault="00BB361D" w:rsidP="00BB361D">
          <w:pPr>
            <w:pStyle w:val="TOC1"/>
            <w:spacing w:line="360" w:lineRule="auto"/>
            <w:rPr>
              <w:rFonts w:cstheme="minorBidi"/>
              <w:noProof/>
              <w:sz w:val="24"/>
              <w:szCs w:val="24"/>
            </w:rPr>
          </w:pPr>
          <w:hyperlink w:anchor="_Toc119075174" w:history="1">
            <w:r w:rsidRPr="00BB361D">
              <w:rPr>
                <w:rStyle w:val="ae"/>
                <w:noProof/>
                <w:sz w:val="24"/>
                <w:szCs w:val="24"/>
              </w:rPr>
              <w:t>第二部分 2020年度单位决算情况说明</w:t>
            </w:r>
            <w:r w:rsidRPr="00BB361D">
              <w:rPr>
                <w:noProof/>
                <w:webHidden/>
                <w:sz w:val="24"/>
                <w:szCs w:val="24"/>
              </w:rPr>
              <w:tab/>
            </w:r>
            <w:r w:rsidRPr="00BB361D">
              <w:rPr>
                <w:noProof/>
                <w:webHidden/>
                <w:sz w:val="24"/>
                <w:szCs w:val="24"/>
              </w:rPr>
              <w:fldChar w:fldCharType="begin"/>
            </w:r>
            <w:r w:rsidRPr="00BB361D">
              <w:rPr>
                <w:noProof/>
                <w:webHidden/>
                <w:sz w:val="24"/>
                <w:szCs w:val="24"/>
              </w:rPr>
              <w:instrText xml:space="preserve"> PAGEREF _Toc119075174 \h </w:instrText>
            </w:r>
            <w:r w:rsidRPr="00BB361D">
              <w:rPr>
                <w:noProof/>
                <w:webHidden/>
                <w:sz w:val="24"/>
                <w:szCs w:val="24"/>
              </w:rPr>
            </w:r>
            <w:r w:rsidRPr="00BB361D">
              <w:rPr>
                <w:noProof/>
                <w:webHidden/>
                <w:sz w:val="24"/>
                <w:szCs w:val="24"/>
              </w:rPr>
              <w:fldChar w:fldCharType="separate"/>
            </w:r>
            <w:r w:rsidRPr="00BB361D">
              <w:rPr>
                <w:noProof/>
                <w:webHidden/>
                <w:sz w:val="24"/>
                <w:szCs w:val="24"/>
              </w:rPr>
              <w:t>5</w:t>
            </w:r>
            <w:r w:rsidRPr="00BB361D">
              <w:rPr>
                <w:noProof/>
                <w:webHidden/>
                <w:sz w:val="24"/>
                <w:szCs w:val="24"/>
              </w:rPr>
              <w:fldChar w:fldCharType="end"/>
            </w:r>
          </w:hyperlink>
        </w:p>
        <w:p w14:paraId="0CFE4A97" w14:textId="6E2249F2" w:rsidR="00BB361D" w:rsidRPr="00BB361D" w:rsidRDefault="00BB361D" w:rsidP="00BB361D">
          <w:pPr>
            <w:pStyle w:val="TOC2"/>
            <w:tabs>
              <w:tab w:val="left" w:pos="1020"/>
            </w:tabs>
            <w:spacing w:line="360" w:lineRule="auto"/>
            <w:rPr>
              <w:rFonts w:ascii="仿宋" w:eastAsia="仿宋" w:hAnsi="仿宋" w:cstheme="minorBidi"/>
              <w:noProof/>
              <w:sz w:val="24"/>
            </w:rPr>
          </w:pPr>
          <w:hyperlink w:anchor="_Toc119075175" w:history="1">
            <w:r w:rsidRPr="00BB361D">
              <w:rPr>
                <w:rStyle w:val="ae"/>
                <w:rFonts w:ascii="仿宋" w:eastAsia="仿宋" w:hAnsi="仿宋" w:cstheme="majorBidi"/>
                <w:noProof/>
                <w:sz w:val="24"/>
              </w:rPr>
              <w:t>一、</w:t>
            </w:r>
            <w:r w:rsidRPr="00BB361D">
              <w:rPr>
                <w:rFonts w:ascii="仿宋" w:eastAsia="仿宋" w:hAnsi="仿宋" w:cstheme="minorBidi"/>
                <w:noProof/>
                <w:sz w:val="24"/>
              </w:rPr>
              <w:tab/>
            </w:r>
            <w:r w:rsidRPr="00BB361D">
              <w:rPr>
                <w:rStyle w:val="ae"/>
                <w:rFonts w:ascii="仿宋" w:eastAsia="仿宋" w:hAnsi="仿宋"/>
                <w:noProof/>
                <w:sz w:val="24"/>
              </w:rPr>
              <w:t>收</w:t>
            </w:r>
            <w:r w:rsidRPr="00BB361D">
              <w:rPr>
                <w:rStyle w:val="ae"/>
                <w:rFonts w:ascii="仿宋" w:eastAsia="仿宋" w:hAnsi="仿宋" w:cstheme="majorBidi"/>
                <w:noProof/>
                <w:sz w:val="24"/>
              </w:rPr>
              <w:t>入支出决算总体情况说明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_Toc119075175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5</w:t>
            </w:r>
            <w:r w:rsidRPr="00BB361D">
              <w:rPr>
                <w:rFonts w:ascii="仿宋" w:eastAsia="仿宋" w:hAnsi="仿宋"/>
                <w:noProof/>
                <w:webHidden/>
                <w:sz w:val="24"/>
              </w:rPr>
              <w:fldChar w:fldCharType="end"/>
            </w:r>
          </w:hyperlink>
        </w:p>
        <w:p w14:paraId="128048D7" w14:textId="1C066107" w:rsidR="00BB361D" w:rsidRPr="00BB361D" w:rsidRDefault="00BB361D" w:rsidP="00BB361D">
          <w:pPr>
            <w:pStyle w:val="TOC2"/>
            <w:tabs>
              <w:tab w:val="left" w:pos="1020"/>
            </w:tabs>
            <w:spacing w:line="360" w:lineRule="auto"/>
            <w:rPr>
              <w:rFonts w:ascii="仿宋" w:eastAsia="仿宋" w:hAnsi="仿宋" w:cstheme="minorBidi"/>
              <w:noProof/>
              <w:sz w:val="24"/>
            </w:rPr>
          </w:pPr>
          <w:hyperlink w:anchor="_Toc119075176" w:history="1">
            <w:r w:rsidRPr="00BB361D">
              <w:rPr>
                <w:rStyle w:val="ae"/>
                <w:rFonts w:ascii="仿宋" w:eastAsia="仿宋" w:hAnsi="仿宋" w:cstheme="majorBidi"/>
                <w:noProof/>
                <w:sz w:val="24"/>
              </w:rPr>
              <w:t>二、</w:t>
            </w:r>
            <w:r w:rsidRPr="00BB361D">
              <w:rPr>
                <w:rFonts w:ascii="仿宋" w:eastAsia="仿宋" w:hAnsi="仿宋" w:cstheme="minorBidi"/>
                <w:noProof/>
                <w:sz w:val="24"/>
              </w:rPr>
              <w:tab/>
            </w:r>
            <w:r w:rsidRPr="00BB361D">
              <w:rPr>
                <w:rStyle w:val="ae"/>
                <w:rFonts w:ascii="仿宋" w:eastAsia="仿宋" w:hAnsi="仿宋"/>
                <w:noProof/>
                <w:sz w:val="24"/>
              </w:rPr>
              <w:t>收</w:t>
            </w:r>
            <w:r w:rsidRPr="00BB361D">
              <w:rPr>
                <w:rStyle w:val="ae"/>
                <w:rFonts w:ascii="仿宋" w:eastAsia="仿宋" w:hAnsi="仿宋" w:cstheme="majorBidi"/>
                <w:noProof/>
                <w:sz w:val="24"/>
              </w:rPr>
              <w:t>入决算情况说明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_Toc119075176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5</w:t>
            </w:r>
            <w:r w:rsidRPr="00BB361D">
              <w:rPr>
                <w:rFonts w:ascii="仿宋" w:eastAsia="仿宋" w:hAnsi="仿宋"/>
                <w:noProof/>
                <w:webHidden/>
                <w:sz w:val="24"/>
              </w:rPr>
              <w:fldChar w:fldCharType="end"/>
            </w:r>
          </w:hyperlink>
        </w:p>
        <w:p w14:paraId="1CF7219C" w14:textId="3884C174" w:rsidR="00BB361D" w:rsidRPr="00BB361D" w:rsidRDefault="00BB361D" w:rsidP="00BB361D">
          <w:pPr>
            <w:pStyle w:val="TOC2"/>
            <w:tabs>
              <w:tab w:val="left" w:pos="1020"/>
            </w:tabs>
            <w:spacing w:line="360" w:lineRule="auto"/>
            <w:rPr>
              <w:rFonts w:ascii="仿宋" w:eastAsia="仿宋" w:hAnsi="仿宋" w:cstheme="minorBidi"/>
              <w:noProof/>
              <w:sz w:val="24"/>
            </w:rPr>
          </w:pPr>
          <w:hyperlink w:anchor="_Toc119075178" w:history="1">
            <w:r w:rsidRPr="00BB361D">
              <w:rPr>
                <w:rStyle w:val="ae"/>
                <w:rFonts w:ascii="仿宋" w:eastAsia="仿宋" w:hAnsi="仿宋" w:cstheme="majorBidi"/>
                <w:noProof/>
                <w:sz w:val="24"/>
              </w:rPr>
              <w:t>三、</w:t>
            </w:r>
            <w:r w:rsidRPr="00BB361D">
              <w:rPr>
                <w:rFonts w:ascii="仿宋" w:eastAsia="仿宋" w:hAnsi="仿宋" w:cstheme="minorBidi"/>
                <w:noProof/>
                <w:sz w:val="24"/>
              </w:rPr>
              <w:tab/>
            </w:r>
            <w:r w:rsidRPr="00BB361D">
              <w:rPr>
                <w:rStyle w:val="ae"/>
                <w:rFonts w:ascii="仿宋" w:eastAsia="仿宋" w:hAnsi="仿宋"/>
                <w:noProof/>
                <w:sz w:val="24"/>
              </w:rPr>
              <w:t>支</w:t>
            </w:r>
            <w:r w:rsidRPr="00BB361D">
              <w:rPr>
                <w:rStyle w:val="ae"/>
                <w:rFonts w:ascii="仿宋" w:eastAsia="仿宋" w:hAnsi="仿宋" w:cstheme="majorBidi"/>
                <w:noProof/>
                <w:sz w:val="24"/>
              </w:rPr>
              <w:t>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_Toc119075178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6</w:t>
            </w:r>
            <w:r w:rsidRPr="00BB361D">
              <w:rPr>
                <w:rFonts w:ascii="仿宋" w:eastAsia="仿宋" w:hAnsi="仿宋"/>
                <w:noProof/>
                <w:webHidden/>
                <w:sz w:val="24"/>
              </w:rPr>
              <w:fldChar w:fldCharType="end"/>
            </w:r>
          </w:hyperlink>
        </w:p>
        <w:p w14:paraId="232CA93D" w14:textId="32D1C0DD" w:rsidR="00BB361D" w:rsidRPr="00BB361D" w:rsidRDefault="00BB361D" w:rsidP="00BB361D">
          <w:pPr>
            <w:pStyle w:val="TOC2"/>
            <w:spacing w:line="360" w:lineRule="auto"/>
            <w:rPr>
              <w:rFonts w:ascii="仿宋" w:eastAsia="仿宋" w:hAnsi="仿宋" w:cstheme="minorBidi"/>
              <w:noProof/>
              <w:sz w:val="24"/>
            </w:rPr>
          </w:pPr>
          <w:hyperlink w:anchor="_Toc119075180" w:history="1">
            <w:r w:rsidRPr="00BB361D">
              <w:rPr>
                <w:rStyle w:val="ae"/>
                <w:rFonts w:ascii="仿宋" w:eastAsia="仿宋" w:hAnsi="仿宋"/>
                <w:noProof/>
                <w:sz w:val="24"/>
              </w:rPr>
              <w:t>四、财</w:t>
            </w:r>
            <w:r w:rsidRPr="00BB361D">
              <w:rPr>
                <w:rStyle w:val="ae"/>
                <w:rFonts w:ascii="仿宋" w:eastAsia="仿宋" w:hAnsi="仿宋" w:cstheme="majorBidi"/>
                <w:noProof/>
                <w:sz w:val="24"/>
              </w:rPr>
              <w:t>政拨款收入支出决算总体情况说明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_Toc119075180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7</w:t>
            </w:r>
            <w:r w:rsidRPr="00BB361D">
              <w:rPr>
                <w:rFonts w:ascii="仿宋" w:eastAsia="仿宋" w:hAnsi="仿宋"/>
                <w:noProof/>
                <w:webHidden/>
                <w:sz w:val="24"/>
              </w:rPr>
              <w:fldChar w:fldCharType="end"/>
            </w:r>
          </w:hyperlink>
        </w:p>
        <w:p w14:paraId="03653B97" w14:textId="174FB275" w:rsidR="00BB361D" w:rsidRPr="00BB361D" w:rsidRDefault="00BB361D" w:rsidP="00BB361D">
          <w:pPr>
            <w:pStyle w:val="TOC2"/>
            <w:spacing w:line="360" w:lineRule="auto"/>
            <w:rPr>
              <w:rFonts w:ascii="仿宋" w:eastAsia="仿宋" w:hAnsi="仿宋" w:cstheme="minorBidi"/>
              <w:noProof/>
              <w:sz w:val="24"/>
            </w:rPr>
          </w:pPr>
          <w:hyperlink w:anchor="_Toc119075181" w:history="1">
            <w:r w:rsidRPr="00BB361D">
              <w:rPr>
                <w:rStyle w:val="ae"/>
                <w:rFonts w:ascii="仿宋" w:eastAsia="仿宋" w:hAnsi="仿宋"/>
                <w:noProof/>
                <w:sz w:val="24"/>
              </w:rPr>
              <w:t>五、一</w:t>
            </w:r>
            <w:r w:rsidRPr="00BB361D">
              <w:rPr>
                <w:rStyle w:val="ae"/>
                <w:rFonts w:ascii="仿宋" w:eastAsia="仿宋" w:hAnsi="仿宋" w:cstheme="majorBidi"/>
                <w:noProof/>
                <w:sz w:val="24"/>
              </w:rPr>
              <w:t>般公共预算财政拨款支出决算情况说明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_Toc119075181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8</w:t>
            </w:r>
            <w:r w:rsidRPr="00BB361D">
              <w:rPr>
                <w:rFonts w:ascii="仿宋" w:eastAsia="仿宋" w:hAnsi="仿宋"/>
                <w:noProof/>
                <w:webHidden/>
                <w:sz w:val="24"/>
              </w:rPr>
              <w:fldChar w:fldCharType="end"/>
            </w:r>
          </w:hyperlink>
        </w:p>
        <w:p w14:paraId="5DABCCB2" w14:textId="0D913740" w:rsidR="00BB361D" w:rsidRPr="00BB361D" w:rsidRDefault="00BB361D" w:rsidP="00BB361D">
          <w:pPr>
            <w:pStyle w:val="TOC3"/>
            <w:spacing w:line="360" w:lineRule="auto"/>
            <w:rPr>
              <w:rFonts w:ascii="仿宋" w:eastAsia="仿宋" w:hAnsi="仿宋" w:cstheme="minorBidi"/>
              <w:noProof/>
              <w:sz w:val="24"/>
            </w:rPr>
          </w:pPr>
          <w:hyperlink w:anchor="_Toc119075182" w:history="1">
            <w:r w:rsidRPr="00BB361D">
              <w:rPr>
                <w:rStyle w:val="ae"/>
                <w:rFonts w:ascii="仿宋" w:eastAsia="仿宋" w:hAnsi="仿宋"/>
                <w:noProof/>
                <w:sz w:val="24"/>
              </w:rPr>
              <w:t>（一）一般公共预算财政拨款支出决算总体情况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_Toc119075182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8</w:t>
            </w:r>
            <w:r w:rsidRPr="00BB361D">
              <w:rPr>
                <w:rFonts w:ascii="仿宋" w:eastAsia="仿宋" w:hAnsi="仿宋"/>
                <w:noProof/>
                <w:webHidden/>
                <w:sz w:val="24"/>
              </w:rPr>
              <w:fldChar w:fldCharType="end"/>
            </w:r>
          </w:hyperlink>
        </w:p>
        <w:p w14:paraId="22D8B563" w14:textId="56956F5A" w:rsidR="00BB361D" w:rsidRPr="00BB361D" w:rsidRDefault="00BB361D" w:rsidP="00BB361D">
          <w:pPr>
            <w:pStyle w:val="TOC3"/>
            <w:spacing w:line="360" w:lineRule="auto"/>
            <w:rPr>
              <w:rFonts w:ascii="仿宋" w:eastAsia="仿宋" w:hAnsi="仿宋" w:cstheme="minorBidi"/>
              <w:noProof/>
              <w:sz w:val="24"/>
            </w:rPr>
          </w:pPr>
          <w:hyperlink w:anchor="_Toc119075183" w:history="1">
            <w:r w:rsidRPr="00BB361D">
              <w:rPr>
                <w:rStyle w:val="ae"/>
                <w:rFonts w:ascii="仿宋" w:eastAsia="仿宋" w:hAnsi="仿宋"/>
                <w:noProof/>
                <w:sz w:val="24"/>
              </w:rPr>
              <w:t>（二）一般公共预算财政拨款支出决算结构情况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_Toc119075183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8</w:t>
            </w:r>
            <w:r w:rsidRPr="00BB361D">
              <w:rPr>
                <w:rFonts w:ascii="仿宋" w:eastAsia="仿宋" w:hAnsi="仿宋"/>
                <w:noProof/>
                <w:webHidden/>
                <w:sz w:val="24"/>
              </w:rPr>
              <w:fldChar w:fldCharType="end"/>
            </w:r>
          </w:hyperlink>
        </w:p>
        <w:p w14:paraId="72749D9A" w14:textId="59B971C5" w:rsidR="00BB361D" w:rsidRPr="00BB361D" w:rsidRDefault="00BB361D" w:rsidP="00BB361D">
          <w:pPr>
            <w:pStyle w:val="TOC3"/>
            <w:spacing w:line="360" w:lineRule="auto"/>
            <w:rPr>
              <w:rFonts w:ascii="仿宋" w:eastAsia="仿宋" w:hAnsi="仿宋" w:cstheme="minorBidi" w:hint="eastAsia"/>
              <w:noProof/>
              <w:sz w:val="24"/>
            </w:rPr>
          </w:pPr>
          <w:hyperlink w:anchor="_Toc119075184" w:history="1">
            <w:r w:rsidRPr="00BB361D">
              <w:rPr>
                <w:rStyle w:val="ae"/>
                <w:rFonts w:ascii="仿宋" w:eastAsia="仿宋" w:hAnsi="仿宋"/>
                <w:noProof/>
                <w:sz w:val="24"/>
              </w:rPr>
              <w:t>（三）一般公共预算财政拨款支出决算具体情况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_Toc119075184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9</w:t>
            </w:r>
            <w:r w:rsidRPr="00BB361D">
              <w:rPr>
                <w:rFonts w:ascii="仿宋" w:eastAsia="仿宋" w:hAnsi="仿宋"/>
                <w:noProof/>
                <w:webHidden/>
                <w:sz w:val="24"/>
              </w:rPr>
              <w:fldChar w:fldCharType="end"/>
            </w:r>
          </w:hyperlink>
        </w:p>
        <w:p w14:paraId="7ECF234A" w14:textId="4289AA15" w:rsidR="00BB361D" w:rsidRPr="00BB361D" w:rsidRDefault="00BB361D" w:rsidP="00BB361D">
          <w:pPr>
            <w:pStyle w:val="TOC2"/>
            <w:spacing w:line="360" w:lineRule="auto"/>
            <w:rPr>
              <w:rFonts w:ascii="仿宋" w:eastAsia="仿宋" w:hAnsi="仿宋" w:cstheme="minorBidi"/>
              <w:noProof/>
              <w:sz w:val="24"/>
            </w:rPr>
          </w:pPr>
          <w:hyperlink w:anchor="_Toc119075186" w:history="1">
            <w:r w:rsidRPr="00BB361D">
              <w:rPr>
                <w:rStyle w:val="ae"/>
                <w:rFonts w:ascii="仿宋" w:eastAsia="仿宋" w:hAnsi="仿宋"/>
                <w:noProof/>
                <w:sz w:val="24"/>
              </w:rPr>
              <w:t>六、一</w:t>
            </w:r>
            <w:r w:rsidRPr="00BB361D">
              <w:rPr>
                <w:rStyle w:val="ae"/>
                <w:rFonts w:ascii="仿宋" w:eastAsia="仿宋" w:hAnsi="仿宋" w:cstheme="majorBidi"/>
                <w:noProof/>
                <w:sz w:val="24"/>
              </w:rPr>
              <w:t>般公共预算财政拨款基本支出决算情况说明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_Toc119075186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10</w:t>
            </w:r>
            <w:r w:rsidRPr="00BB361D">
              <w:rPr>
                <w:rFonts w:ascii="仿宋" w:eastAsia="仿宋" w:hAnsi="仿宋"/>
                <w:noProof/>
                <w:webHidden/>
                <w:sz w:val="24"/>
              </w:rPr>
              <w:fldChar w:fldCharType="end"/>
            </w:r>
          </w:hyperlink>
        </w:p>
        <w:p w14:paraId="6B89C1F2" w14:textId="4AFC09C0" w:rsidR="00BB361D" w:rsidRPr="00BB361D" w:rsidRDefault="00BB361D" w:rsidP="00BB361D">
          <w:pPr>
            <w:pStyle w:val="TOC2"/>
            <w:spacing w:line="360" w:lineRule="auto"/>
            <w:rPr>
              <w:rFonts w:ascii="仿宋" w:eastAsia="仿宋" w:hAnsi="仿宋" w:cstheme="minorBidi"/>
              <w:noProof/>
              <w:sz w:val="24"/>
            </w:rPr>
          </w:pPr>
          <w:hyperlink w:anchor="_Toc119075187" w:history="1">
            <w:r w:rsidRPr="00BB361D">
              <w:rPr>
                <w:rStyle w:val="ae"/>
                <w:rFonts w:ascii="仿宋" w:eastAsia="仿宋" w:hAnsi="仿宋"/>
                <w:noProof/>
                <w:sz w:val="24"/>
              </w:rPr>
              <w:t>七、</w:t>
            </w:r>
            <w:r w:rsidRPr="00BB361D">
              <w:rPr>
                <w:rStyle w:val="ae"/>
                <w:rFonts w:ascii="仿宋" w:eastAsia="仿宋" w:hAnsi="仿宋" w:cstheme="majorBidi"/>
                <w:noProof/>
                <w:sz w:val="24"/>
              </w:rPr>
              <w:t>“三公”经费财政拨款支出决算情况说明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_Toc119075187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1EE248B1" w14:textId="591459AC" w:rsidR="00BB361D" w:rsidRPr="00BB361D" w:rsidRDefault="00BB361D" w:rsidP="00BB361D">
          <w:pPr>
            <w:pStyle w:val="TOC2"/>
            <w:spacing w:line="360" w:lineRule="auto"/>
            <w:rPr>
              <w:rFonts w:ascii="仿宋" w:eastAsia="仿宋" w:hAnsi="仿宋" w:cstheme="minorBidi"/>
              <w:noProof/>
              <w:sz w:val="24"/>
            </w:rPr>
          </w:pPr>
          <w:hyperlink w:anchor="_Toc119075188" w:history="1">
            <w:r w:rsidRPr="00BB361D">
              <w:rPr>
                <w:rStyle w:val="ae"/>
                <w:rFonts w:ascii="仿宋" w:eastAsia="仿宋" w:hAnsi="仿宋"/>
                <w:noProof/>
                <w:sz w:val="24"/>
              </w:rPr>
              <w:t>八、</w:t>
            </w:r>
            <w:r w:rsidRPr="00BB361D">
              <w:rPr>
                <w:rStyle w:val="ae"/>
                <w:rFonts w:ascii="仿宋" w:eastAsia="仿宋" w:hAnsi="仿宋" w:cstheme="majorBidi"/>
                <w:noProof/>
                <w:sz w:val="24"/>
              </w:rPr>
              <w:t>政府性基金预算支出决算情况说明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_Toc119075188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6A0B77CE" w14:textId="5893C151" w:rsidR="00BB361D" w:rsidRPr="00BB361D" w:rsidRDefault="00BB361D" w:rsidP="00BB361D">
          <w:pPr>
            <w:pStyle w:val="TOC2"/>
            <w:spacing w:line="360" w:lineRule="auto"/>
            <w:rPr>
              <w:rFonts w:ascii="仿宋" w:eastAsia="仿宋" w:hAnsi="仿宋" w:cstheme="minorBidi"/>
              <w:noProof/>
              <w:sz w:val="24"/>
            </w:rPr>
          </w:pPr>
          <w:hyperlink w:anchor="_Toc119075189" w:history="1">
            <w:r w:rsidRPr="00BB361D">
              <w:rPr>
                <w:rStyle w:val="ae"/>
                <w:rFonts w:ascii="仿宋" w:eastAsia="仿宋" w:hAnsi="仿宋" w:cstheme="majorBidi"/>
                <w:noProof/>
                <w:sz w:val="24"/>
              </w:rPr>
              <w:t>九、 国有资本经营预算支出决算情况说明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_Toc119075189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54FFFAF1" w14:textId="2B5CBE81" w:rsidR="00BB361D" w:rsidRPr="00BB361D" w:rsidRDefault="00BB361D" w:rsidP="00BB361D">
          <w:pPr>
            <w:pStyle w:val="TOC2"/>
            <w:spacing w:line="360" w:lineRule="auto"/>
            <w:rPr>
              <w:rFonts w:ascii="仿宋" w:eastAsia="仿宋" w:hAnsi="仿宋" w:cstheme="minorBidi"/>
              <w:noProof/>
              <w:sz w:val="24"/>
            </w:rPr>
          </w:pPr>
          <w:hyperlink w:anchor="_Toc119075190" w:history="1">
            <w:r w:rsidRPr="00BB361D">
              <w:rPr>
                <w:rStyle w:val="ae"/>
                <w:rFonts w:ascii="仿宋" w:eastAsia="仿宋" w:hAnsi="仿宋" w:cstheme="majorBidi"/>
                <w:noProof/>
                <w:sz w:val="24"/>
              </w:rPr>
              <w:t>十、 其他重要事项的情况说明</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_Toc119075190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7B4AD8F9" w14:textId="424EC451" w:rsidR="00BB361D" w:rsidRPr="00BB361D" w:rsidRDefault="00BB361D" w:rsidP="00BB361D">
          <w:pPr>
            <w:pStyle w:val="TOC3"/>
            <w:spacing w:line="360" w:lineRule="auto"/>
            <w:rPr>
              <w:rFonts w:ascii="仿宋" w:eastAsia="仿宋" w:hAnsi="仿宋" w:cstheme="minorBidi"/>
              <w:noProof/>
              <w:sz w:val="24"/>
            </w:rPr>
          </w:pPr>
          <w:hyperlink w:anchor="_Toc119075191" w:history="1">
            <w:r w:rsidRPr="00BB361D">
              <w:rPr>
                <w:rStyle w:val="ae"/>
                <w:rFonts w:ascii="仿宋" w:eastAsia="仿宋" w:hAnsi="仿宋"/>
                <w:noProof/>
                <w:sz w:val="24"/>
              </w:rPr>
              <w:t>（一）机关运行经费支出情况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_Toc119075191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0172B81B" w14:textId="0CDECEBB" w:rsidR="00BB361D" w:rsidRPr="00BB361D" w:rsidRDefault="00BB361D" w:rsidP="00BB361D">
          <w:pPr>
            <w:pStyle w:val="TOC3"/>
            <w:spacing w:line="360" w:lineRule="auto"/>
            <w:rPr>
              <w:rFonts w:ascii="仿宋" w:eastAsia="仿宋" w:hAnsi="仿宋" w:cstheme="minorBidi"/>
              <w:noProof/>
              <w:sz w:val="24"/>
            </w:rPr>
          </w:pPr>
          <w:hyperlink w:anchor="_Toc119075192" w:history="1">
            <w:r w:rsidRPr="00BB361D">
              <w:rPr>
                <w:rStyle w:val="ae"/>
                <w:rFonts w:ascii="仿宋" w:eastAsia="仿宋" w:hAnsi="仿宋"/>
                <w:noProof/>
                <w:sz w:val="24"/>
              </w:rPr>
              <w:t>（二）政府采购支出情况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_Toc119075192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11</w:t>
            </w:r>
            <w:r w:rsidRPr="00BB361D">
              <w:rPr>
                <w:rFonts w:ascii="仿宋" w:eastAsia="仿宋" w:hAnsi="仿宋"/>
                <w:noProof/>
                <w:webHidden/>
                <w:sz w:val="24"/>
              </w:rPr>
              <w:fldChar w:fldCharType="end"/>
            </w:r>
          </w:hyperlink>
        </w:p>
        <w:p w14:paraId="290D89CD" w14:textId="2B8AFB9D" w:rsidR="00BB361D" w:rsidRPr="00BB361D" w:rsidRDefault="00BB361D" w:rsidP="00BB361D">
          <w:pPr>
            <w:pStyle w:val="TOC3"/>
            <w:spacing w:line="360" w:lineRule="auto"/>
            <w:rPr>
              <w:rFonts w:ascii="仿宋" w:eastAsia="仿宋" w:hAnsi="仿宋" w:cstheme="minorBidi"/>
              <w:noProof/>
              <w:sz w:val="24"/>
            </w:rPr>
          </w:pPr>
          <w:hyperlink w:anchor="_Toc119075193" w:history="1">
            <w:r w:rsidRPr="00BB361D">
              <w:rPr>
                <w:rStyle w:val="ae"/>
                <w:rFonts w:ascii="仿宋" w:eastAsia="仿宋" w:hAnsi="仿宋"/>
                <w:noProof/>
                <w:sz w:val="24"/>
              </w:rPr>
              <w:t>（三）国有资产占有使用情况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_Toc119075193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12</w:t>
            </w:r>
            <w:r w:rsidRPr="00BB361D">
              <w:rPr>
                <w:rFonts w:ascii="仿宋" w:eastAsia="仿宋" w:hAnsi="仿宋"/>
                <w:noProof/>
                <w:webHidden/>
                <w:sz w:val="24"/>
              </w:rPr>
              <w:fldChar w:fldCharType="end"/>
            </w:r>
          </w:hyperlink>
        </w:p>
        <w:p w14:paraId="076C347A" w14:textId="7755582C" w:rsidR="00BB361D" w:rsidRPr="00BB361D" w:rsidRDefault="00BB361D" w:rsidP="00BB361D">
          <w:pPr>
            <w:pStyle w:val="TOC3"/>
            <w:spacing w:line="360" w:lineRule="auto"/>
            <w:rPr>
              <w:rFonts w:ascii="仿宋" w:eastAsia="仿宋" w:hAnsi="仿宋" w:cstheme="minorBidi"/>
              <w:noProof/>
              <w:sz w:val="24"/>
            </w:rPr>
          </w:pPr>
          <w:hyperlink w:anchor="_Toc119075194" w:history="1">
            <w:r w:rsidRPr="00BB361D">
              <w:rPr>
                <w:rStyle w:val="ae"/>
                <w:rFonts w:ascii="仿宋" w:eastAsia="仿宋" w:hAnsi="仿宋"/>
                <w:noProof/>
                <w:sz w:val="24"/>
              </w:rPr>
              <w:t>（四）预算绩效管理情况</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_Toc119075194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12</w:t>
            </w:r>
            <w:r w:rsidRPr="00BB361D">
              <w:rPr>
                <w:rFonts w:ascii="仿宋" w:eastAsia="仿宋" w:hAnsi="仿宋"/>
                <w:noProof/>
                <w:webHidden/>
                <w:sz w:val="24"/>
              </w:rPr>
              <w:fldChar w:fldCharType="end"/>
            </w:r>
          </w:hyperlink>
        </w:p>
        <w:p w14:paraId="5D25D15F" w14:textId="675DFD77" w:rsidR="00BB361D" w:rsidRPr="00BB361D" w:rsidRDefault="00BB361D" w:rsidP="00BB361D">
          <w:pPr>
            <w:pStyle w:val="TOC1"/>
            <w:spacing w:line="360" w:lineRule="auto"/>
            <w:rPr>
              <w:rFonts w:cstheme="minorBidi"/>
              <w:noProof/>
              <w:sz w:val="24"/>
              <w:szCs w:val="24"/>
            </w:rPr>
          </w:pPr>
          <w:hyperlink w:anchor="_Toc119075195" w:history="1">
            <w:r w:rsidRPr="00BB361D">
              <w:rPr>
                <w:rStyle w:val="ae"/>
                <w:rFonts w:cs="黑体"/>
                <w:noProof/>
                <w:kern w:val="44"/>
                <w:sz w:val="24"/>
                <w:szCs w:val="24"/>
              </w:rPr>
              <w:t>第三部分</w:t>
            </w:r>
            <w:r w:rsidRPr="00BB361D">
              <w:rPr>
                <w:rStyle w:val="ae"/>
                <w:noProof/>
                <w:sz w:val="24"/>
                <w:szCs w:val="24"/>
              </w:rPr>
              <w:t xml:space="preserve"> 名</w:t>
            </w:r>
            <w:r w:rsidRPr="00BB361D">
              <w:rPr>
                <w:rStyle w:val="ae"/>
                <w:noProof/>
                <w:kern w:val="44"/>
                <w:sz w:val="24"/>
                <w:szCs w:val="24"/>
              </w:rPr>
              <w:t>词解释</w:t>
            </w:r>
            <w:r w:rsidRPr="00BB361D">
              <w:rPr>
                <w:noProof/>
                <w:webHidden/>
                <w:sz w:val="24"/>
                <w:szCs w:val="24"/>
              </w:rPr>
              <w:tab/>
            </w:r>
            <w:r w:rsidRPr="00BB361D">
              <w:rPr>
                <w:noProof/>
                <w:webHidden/>
                <w:sz w:val="24"/>
                <w:szCs w:val="24"/>
              </w:rPr>
              <w:fldChar w:fldCharType="begin"/>
            </w:r>
            <w:r w:rsidRPr="00BB361D">
              <w:rPr>
                <w:noProof/>
                <w:webHidden/>
                <w:sz w:val="24"/>
                <w:szCs w:val="24"/>
              </w:rPr>
              <w:instrText xml:space="preserve"> PAGEREF _Toc119075195 \h </w:instrText>
            </w:r>
            <w:r w:rsidRPr="00BB361D">
              <w:rPr>
                <w:noProof/>
                <w:webHidden/>
                <w:sz w:val="24"/>
                <w:szCs w:val="24"/>
              </w:rPr>
            </w:r>
            <w:r w:rsidRPr="00BB361D">
              <w:rPr>
                <w:noProof/>
                <w:webHidden/>
                <w:sz w:val="24"/>
                <w:szCs w:val="24"/>
              </w:rPr>
              <w:fldChar w:fldCharType="separate"/>
            </w:r>
            <w:r w:rsidRPr="00BB361D">
              <w:rPr>
                <w:noProof/>
                <w:webHidden/>
                <w:sz w:val="24"/>
                <w:szCs w:val="24"/>
              </w:rPr>
              <w:t>16</w:t>
            </w:r>
            <w:r w:rsidRPr="00BB361D">
              <w:rPr>
                <w:noProof/>
                <w:webHidden/>
                <w:sz w:val="24"/>
                <w:szCs w:val="24"/>
              </w:rPr>
              <w:fldChar w:fldCharType="end"/>
            </w:r>
          </w:hyperlink>
        </w:p>
        <w:p w14:paraId="0EDE0FAE" w14:textId="611AF723" w:rsidR="00BB361D" w:rsidRPr="00BB361D" w:rsidRDefault="00BB361D" w:rsidP="00BB361D">
          <w:pPr>
            <w:pStyle w:val="TOC1"/>
            <w:spacing w:line="360" w:lineRule="auto"/>
            <w:rPr>
              <w:rFonts w:cstheme="minorBidi"/>
              <w:noProof/>
              <w:sz w:val="24"/>
              <w:szCs w:val="24"/>
            </w:rPr>
          </w:pPr>
          <w:hyperlink w:anchor="_Toc119075196" w:history="1">
            <w:r w:rsidRPr="00BB361D">
              <w:rPr>
                <w:rStyle w:val="ae"/>
                <w:rFonts w:cs="黑体"/>
                <w:noProof/>
                <w:sz w:val="24"/>
                <w:szCs w:val="24"/>
              </w:rPr>
              <w:t>第</w:t>
            </w:r>
            <w:r w:rsidRPr="00BB361D">
              <w:rPr>
                <w:rStyle w:val="ae"/>
                <w:rFonts w:cs="黑体"/>
                <w:noProof/>
                <w:kern w:val="44"/>
                <w:sz w:val="24"/>
                <w:szCs w:val="24"/>
              </w:rPr>
              <w:t>四部分 附件</w:t>
            </w:r>
            <w:r w:rsidRPr="00BB361D">
              <w:rPr>
                <w:noProof/>
                <w:webHidden/>
                <w:sz w:val="24"/>
                <w:szCs w:val="24"/>
              </w:rPr>
              <w:tab/>
            </w:r>
            <w:r w:rsidRPr="00BB361D">
              <w:rPr>
                <w:noProof/>
                <w:webHidden/>
                <w:sz w:val="24"/>
                <w:szCs w:val="24"/>
              </w:rPr>
              <w:fldChar w:fldCharType="begin"/>
            </w:r>
            <w:r w:rsidRPr="00BB361D">
              <w:rPr>
                <w:noProof/>
                <w:webHidden/>
                <w:sz w:val="24"/>
                <w:szCs w:val="24"/>
              </w:rPr>
              <w:instrText xml:space="preserve"> PAGEREF _Toc119075196 \h </w:instrText>
            </w:r>
            <w:r w:rsidRPr="00BB361D">
              <w:rPr>
                <w:noProof/>
                <w:webHidden/>
                <w:sz w:val="24"/>
                <w:szCs w:val="24"/>
              </w:rPr>
            </w:r>
            <w:r w:rsidRPr="00BB361D">
              <w:rPr>
                <w:noProof/>
                <w:webHidden/>
                <w:sz w:val="24"/>
                <w:szCs w:val="24"/>
              </w:rPr>
              <w:fldChar w:fldCharType="separate"/>
            </w:r>
            <w:r w:rsidRPr="00BB361D">
              <w:rPr>
                <w:noProof/>
                <w:webHidden/>
                <w:sz w:val="24"/>
                <w:szCs w:val="24"/>
              </w:rPr>
              <w:t>19</w:t>
            </w:r>
            <w:r w:rsidRPr="00BB361D">
              <w:rPr>
                <w:noProof/>
                <w:webHidden/>
                <w:sz w:val="24"/>
                <w:szCs w:val="24"/>
              </w:rPr>
              <w:fldChar w:fldCharType="end"/>
            </w:r>
          </w:hyperlink>
        </w:p>
        <w:p w14:paraId="780C400D" w14:textId="08333AF6" w:rsidR="00BB361D" w:rsidRPr="00BB361D" w:rsidRDefault="00BB361D" w:rsidP="00BB361D">
          <w:pPr>
            <w:pStyle w:val="TOC1"/>
            <w:spacing w:line="360" w:lineRule="auto"/>
            <w:rPr>
              <w:rFonts w:cstheme="minorBidi"/>
              <w:noProof/>
              <w:sz w:val="24"/>
              <w:szCs w:val="24"/>
            </w:rPr>
          </w:pPr>
          <w:hyperlink w:anchor="_Toc119075197" w:history="1">
            <w:r w:rsidRPr="00BB361D">
              <w:rPr>
                <w:rStyle w:val="ae"/>
                <w:noProof/>
                <w:sz w:val="24"/>
                <w:szCs w:val="24"/>
              </w:rPr>
              <w:t>第</w:t>
            </w:r>
            <w:r w:rsidRPr="00BB361D">
              <w:rPr>
                <w:rStyle w:val="ae"/>
                <w:noProof/>
                <w:kern w:val="44"/>
                <w:sz w:val="24"/>
                <w:szCs w:val="24"/>
              </w:rPr>
              <w:t>五部分 附表</w:t>
            </w:r>
            <w:r w:rsidRPr="00BB361D">
              <w:rPr>
                <w:noProof/>
                <w:webHidden/>
                <w:sz w:val="24"/>
                <w:szCs w:val="24"/>
              </w:rPr>
              <w:tab/>
            </w:r>
            <w:r w:rsidRPr="00BB361D">
              <w:rPr>
                <w:noProof/>
                <w:webHidden/>
                <w:sz w:val="24"/>
                <w:szCs w:val="24"/>
              </w:rPr>
              <w:fldChar w:fldCharType="begin"/>
            </w:r>
            <w:r w:rsidRPr="00BB361D">
              <w:rPr>
                <w:noProof/>
                <w:webHidden/>
                <w:sz w:val="24"/>
                <w:szCs w:val="24"/>
              </w:rPr>
              <w:instrText xml:space="preserve"> PAGEREF _Toc119075197 \h </w:instrText>
            </w:r>
            <w:r w:rsidRPr="00BB361D">
              <w:rPr>
                <w:noProof/>
                <w:webHidden/>
                <w:sz w:val="24"/>
                <w:szCs w:val="24"/>
              </w:rPr>
            </w:r>
            <w:r w:rsidRPr="00BB361D">
              <w:rPr>
                <w:noProof/>
                <w:webHidden/>
                <w:sz w:val="24"/>
                <w:szCs w:val="24"/>
              </w:rPr>
              <w:fldChar w:fldCharType="separate"/>
            </w:r>
            <w:r w:rsidRPr="00BB361D">
              <w:rPr>
                <w:noProof/>
                <w:webHidden/>
                <w:sz w:val="24"/>
                <w:szCs w:val="24"/>
              </w:rPr>
              <w:t>36</w:t>
            </w:r>
            <w:r w:rsidRPr="00BB361D">
              <w:rPr>
                <w:noProof/>
                <w:webHidden/>
                <w:sz w:val="24"/>
                <w:szCs w:val="24"/>
              </w:rPr>
              <w:fldChar w:fldCharType="end"/>
            </w:r>
          </w:hyperlink>
        </w:p>
        <w:p w14:paraId="09023B9F" w14:textId="5A001F4F" w:rsidR="00BB361D" w:rsidRPr="00BB361D" w:rsidRDefault="00BB361D" w:rsidP="00BB361D">
          <w:pPr>
            <w:pStyle w:val="TOC2"/>
            <w:spacing w:line="360" w:lineRule="auto"/>
            <w:rPr>
              <w:rFonts w:ascii="仿宋" w:eastAsia="仿宋" w:hAnsi="仿宋" w:cstheme="minorBidi"/>
              <w:noProof/>
              <w:sz w:val="24"/>
            </w:rPr>
          </w:pPr>
          <w:hyperlink w:anchor="_Toc119075198" w:history="1">
            <w:r w:rsidRPr="00BB361D">
              <w:rPr>
                <w:rStyle w:val="ae"/>
                <w:rFonts w:ascii="仿宋" w:eastAsia="仿宋" w:hAnsi="仿宋"/>
                <w:noProof/>
                <w:sz w:val="24"/>
              </w:rPr>
              <w:t>一、收入支出决算总表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_Toc119075198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35B5F0D8" w14:textId="6F2B8B67" w:rsidR="00BB361D" w:rsidRPr="00BB361D" w:rsidRDefault="00BB361D" w:rsidP="00BB361D">
          <w:pPr>
            <w:pStyle w:val="TOC2"/>
            <w:spacing w:line="360" w:lineRule="auto"/>
            <w:rPr>
              <w:rFonts w:ascii="仿宋" w:eastAsia="仿宋" w:hAnsi="仿宋" w:cstheme="minorBidi"/>
              <w:noProof/>
              <w:sz w:val="24"/>
            </w:rPr>
          </w:pPr>
          <w:hyperlink w:anchor="_Toc119075199" w:history="1">
            <w:r w:rsidRPr="00BB361D">
              <w:rPr>
                <w:rStyle w:val="ae"/>
                <w:rFonts w:ascii="仿宋" w:eastAsia="仿宋" w:hAnsi="仿宋"/>
                <w:noProof/>
                <w:sz w:val="24"/>
              </w:rPr>
              <w:t>二、收入决算表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_Toc119075199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1FE55D25" w14:textId="50FB8FE5" w:rsidR="00BB361D" w:rsidRPr="00BB361D" w:rsidRDefault="00BB361D" w:rsidP="00BB361D">
          <w:pPr>
            <w:pStyle w:val="TOC2"/>
            <w:spacing w:line="360" w:lineRule="auto"/>
            <w:rPr>
              <w:rFonts w:ascii="仿宋" w:eastAsia="仿宋" w:hAnsi="仿宋" w:cstheme="minorBidi"/>
              <w:noProof/>
              <w:sz w:val="24"/>
            </w:rPr>
          </w:pPr>
          <w:hyperlink w:anchor="_Toc119075200" w:history="1">
            <w:r w:rsidRPr="00BB361D">
              <w:rPr>
                <w:rStyle w:val="ae"/>
                <w:rFonts w:ascii="仿宋" w:eastAsia="仿宋" w:hAnsi="仿宋"/>
                <w:noProof/>
                <w:sz w:val="24"/>
              </w:rPr>
              <w:t>三、支出决算表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_Toc119075200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3D3323A4" w14:textId="0D85B8CF" w:rsidR="00BB361D" w:rsidRPr="00BB361D" w:rsidRDefault="00BB361D" w:rsidP="00BB361D">
          <w:pPr>
            <w:pStyle w:val="TOC2"/>
            <w:spacing w:line="360" w:lineRule="auto"/>
            <w:rPr>
              <w:rFonts w:ascii="仿宋" w:eastAsia="仿宋" w:hAnsi="仿宋" w:cstheme="minorBidi"/>
              <w:noProof/>
              <w:sz w:val="24"/>
            </w:rPr>
          </w:pPr>
          <w:hyperlink w:anchor="_Toc119075201" w:history="1">
            <w:r w:rsidRPr="00BB361D">
              <w:rPr>
                <w:rStyle w:val="ae"/>
                <w:rFonts w:ascii="仿宋" w:eastAsia="仿宋" w:hAnsi="仿宋"/>
                <w:noProof/>
                <w:sz w:val="24"/>
              </w:rPr>
              <w:t>四、财政拨款收入支出决算总表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_Toc119075201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6DEB2431" w14:textId="0FA372A6" w:rsidR="00BB361D" w:rsidRPr="00BB361D" w:rsidRDefault="00BB361D" w:rsidP="00BB361D">
          <w:pPr>
            <w:pStyle w:val="TOC2"/>
            <w:spacing w:line="360" w:lineRule="auto"/>
            <w:rPr>
              <w:rFonts w:ascii="仿宋" w:eastAsia="仿宋" w:hAnsi="仿宋" w:cstheme="minorBidi"/>
              <w:noProof/>
              <w:sz w:val="24"/>
            </w:rPr>
          </w:pPr>
          <w:hyperlink w:anchor="_Toc119075202" w:history="1">
            <w:r w:rsidRPr="00BB361D">
              <w:rPr>
                <w:rStyle w:val="ae"/>
                <w:rFonts w:ascii="仿宋" w:eastAsia="仿宋" w:hAnsi="仿宋"/>
                <w:noProof/>
                <w:sz w:val="24"/>
              </w:rPr>
              <w:t>五、财政拨款支出决算明细表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_Toc119075202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70D84EEE" w14:textId="0DC9428C" w:rsidR="00BB361D" w:rsidRPr="00BB361D" w:rsidRDefault="00BB361D" w:rsidP="00BB361D">
          <w:pPr>
            <w:pStyle w:val="TOC2"/>
            <w:spacing w:line="360" w:lineRule="auto"/>
            <w:rPr>
              <w:rFonts w:ascii="仿宋" w:eastAsia="仿宋" w:hAnsi="仿宋" w:cstheme="minorBidi"/>
              <w:noProof/>
              <w:sz w:val="24"/>
            </w:rPr>
          </w:pPr>
          <w:hyperlink w:anchor="_Toc119075203" w:history="1">
            <w:r w:rsidRPr="00BB361D">
              <w:rPr>
                <w:rStyle w:val="ae"/>
                <w:rFonts w:ascii="仿宋" w:eastAsia="仿宋" w:hAnsi="仿宋"/>
                <w:noProof/>
                <w:sz w:val="24"/>
              </w:rPr>
              <w:t>六、一般公共预算财政拨款支出决算表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_Toc119075203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3558E64A" w14:textId="2134DB91" w:rsidR="00BB361D" w:rsidRPr="00BB361D" w:rsidRDefault="00BB361D" w:rsidP="00BB361D">
          <w:pPr>
            <w:pStyle w:val="TOC2"/>
            <w:spacing w:line="360" w:lineRule="auto"/>
            <w:rPr>
              <w:rFonts w:ascii="仿宋" w:eastAsia="仿宋" w:hAnsi="仿宋" w:cstheme="minorBidi"/>
              <w:noProof/>
              <w:sz w:val="24"/>
            </w:rPr>
          </w:pPr>
          <w:hyperlink w:anchor="_Toc119075204" w:history="1">
            <w:r w:rsidRPr="00BB361D">
              <w:rPr>
                <w:rStyle w:val="ae"/>
                <w:rFonts w:ascii="仿宋" w:eastAsia="仿宋" w:hAnsi="仿宋"/>
                <w:noProof/>
                <w:sz w:val="24"/>
              </w:rPr>
              <w:t>七、一般公共预算财政拨款支出决算明细表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_Toc119075204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2E877907" w14:textId="74F2A83C" w:rsidR="00BB361D" w:rsidRPr="00BB361D" w:rsidRDefault="00BB361D" w:rsidP="00BB361D">
          <w:pPr>
            <w:pStyle w:val="TOC2"/>
            <w:spacing w:line="360" w:lineRule="auto"/>
            <w:rPr>
              <w:rFonts w:ascii="仿宋" w:eastAsia="仿宋" w:hAnsi="仿宋" w:cstheme="minorBidi"/>
              <w:noProof/>
              <w:sz w:val="24"/>
            </w:rPr>
          </w:pPr>
          <w:hyperlink w:anchor="_Toc119075205" w:history="1">
            <w:r w:rsidRPr="00BB361D">
              <w:rPr>
                <w:rStyle w:val="ae"/>
                <w:rFonts w:ascii="仿宋" w:eastAsia="仿宋" w:hAnsi="仿宋"/>
                <w:noProof/>
                <w:sz w:val="24"/>
              </w:rPr>
              <w:t>八、一般公共预算财政拨款基本支出决算表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_Toc119075205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1E3ADAB6" w14:textId="5605355E" w:rsidR="00BB361D" w:rsidRPr="00BB361D" w:rsidRDefault="00BB361D" w:rsidP="00BB361D">
          <w:pPr>
            <w:pStyle w:val="TOC2"/>
            <w:spacing w:line="360" w:lineRule="auto"/>
            <w:rPr>
              <w:rFonts w:ascii="仿宋" w:eastAsia="仿宋" w:hAnsi="仿宋" w:cstheme="minorBidi"/>
              <w:noProof/>
              <w:sz w:val="24"/>
            </w:rPr>
          </w:pPr>
          <w:hyperlink w:anchor="_Toc119075206" w:history="1">
            <w:r w:rsidRPr="00BB361D">
              <w:rPr>
                <w:rStyle w:val="ae"/>
                <w:rFonts w:ascii="仿宋" w:eastAsia="仿宋" w:hAnsi="仿宋"/>
                <w:noProof/>
                <w:sz w:val="24"/>
              </w:rPr>
              <w:t>九、一般公共预算财政拨款项目支出决算表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_Toc119075206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52E53170" w14:textId="547D149E" w:rsidR="00BB361D" w:rsidRPr="00BB361D" w:rsidRDefault="00BB361D" w:rsidP="00BB361D">
          <w:pPr>
            <w:pStyle w:val="TOC2"/>
            <w:spacing w:line="360" w:lineRule="auto"/>
            <w:rPr>
              <w:rFonts w:ascii="仿宋" w:eastAsia="仿宋" w:hAnsi="仿宋" w:cstheme="minorBidi"/>
              <w:noProof/>
              <w:sz w:val="24"/>
            </w:rPr>
          </w:pPr>
          <w:hyperlink w:anchor="_Toc119075207" w:history="1">
            <w:r w:rsidRPr="00BB361D">
              <w:rPr>
                <w:rStyle w:val="ae"/>
                <w:rFonts w:ascii="仿宋" w:eastAsia="仿宋" w:hAnsi="仿宋"/>
                <w:noProof/>
                <w:sz w:val="24"/>
              </w:rPr>
              <w:t>十、一般公共预算财政拨款“三公”经费支出决算表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_Toc119075207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3DA66DCE" w14:textId="3BC5AC33" w:rsidR="00BB361D" w:rsidRPr="00BB361D" w:rsidRDefault="00BB361D" w:rsidP="00BB361D">
          <w:pPr>
            <w:pStyle w:val="TOC2"/>
            <w:spacing w:line="360" w:lineRule="auto"/>
            <w:rPr>
              <w:rFonts w:ascii="仿宋" w:eastAsia="仿宋" w:hAnsi="仿宋" w:cstheme="minorBidi"/>
              <w:noProof/>
              <w:sz w:val="24"/>
            </w:rPr>
          </w:pPr>
          <w:hyperlink w:anchor="_Toc119075208" w:history="1">
            <w:r w:rsidRPr="00BB361D">
              <w:rPr>
                <w:rStyle w:val="ae"/>
                <w:rFonts w:ascii="仿宋" w:eastAsia="仿宋" w:hAnsi="仿宋"/>
                <w:noProof/>
                <w:sz w:val="24"/>
              </w:rPr>
              <w:t>十一、政府性基金预算财政拨款收入支出决算表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_Toc119075208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34CF42B1" w14:textId="39879335" w:rsidR="00BB361D" w:rsidRPr="00BB361D" w:rsidRDefault="00BB361D" w:rsidP="00BB361D">
          <w:pPr>
            <w:pStyle w:val="TOC2"/>
            <w:spacing w:line="360" w:lineRule="auto"/>
            <w:rPr>
              <w:rFonts w:ascii="仿宋" w:eastAsia="仿宋" w:hAnsi="仿宋" w:cstheme="minorBidi"/>
              <w:noProof/>
              <w:sz w:val="24"/>
            </w:rPr>
          </w:pPr>
          <w:hyperlink w:anchor="_Toc119075209" w:history="1">
            <w:r w:rsidRPr="00BB361D">
              <w:rPr>
                <w:rStyle w:val="ae"/>
                <w:rFonts w:ascii="仿宋" w:eastAsia="仿宋" w:hAnsi="仿宋"/>
                <w:noProof/>
                <w:sz w:val="24"/>
              </w:rPr>
              <w:t>十二、政府性基金预算财政拨款“三公”经费支出决算表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_Toc119075209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0E3E4563" w14:textId="70CE4BD1" w:rsidR="00BB361D" w:rsidRPr="00BB361D" w:rsidRDefault="00BB361D" w:rsidP="00BB361D">
          <w:pPr>
            <w:pStyle w:val="TOC2"/>
            <w:spacing w:line="360" w:lineRule="auto"/>
            <w:rPr>
              <w:rFonts w:ascii="仿宋" w:eastAsia="仿宋" w:hAnsi="仿宋" w:cstheme="minorBidi"/>
              <w:noProof/>
              <w:sz w:val="24"/>
            </w:rPr>
          </w:pPr>
          <w:hyperlink w:anchor="_Toc119075210" w:history="1">
            <w:r w:rsidRPr="00BB361D">
              <w:rPr>
                <w:rStyle w:val="ae"/>
                <w:rFonts w:ascii="仿宋" w:eastAsia="仿宋" w:hAnsi="仿宋"/>
                <w:noProof/>
                <w:sz w:val="24"/>
              </w:rPr>
              <w:t>十三、国有资本经营预算财政拨款收入支出决算表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_Toc119075210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05F8AC94" w14:textId="4D18AA23" w:rsidR="00BB361D" w:rsidRDefault="00BB361D" w:rsidP="00BB361D">
          <w:pPr>
            <w:pStyle w:val="TOC2"/>
            <w:spacing w:line="360" w:lineRule="auto"/>
            <w:rPr>
              <w:rFonts w:asciiTheme="minorHAnsi" w:eastAsiaTheme="minorEastAsia" w:hAnsiTheme="minorHAnsi" w:cstheme="minorBidi"/>
              <w:noProof/>
              <w:szCs w:val="22"/>
            </w:rPr>
          </w:pPr>
          <w:hyperlink w:anchor="_Toc119075211" w:history="1">
            <w:r w:rsidRPr="00BB361D">
              <w:rPr>
                <w:rStyle w:val="ae"/>
                <w:rFonts w:ascii="仿宋" w:eastAsia="仿宋" w:hAnsi="仿宋"/>
                <w:noProof/>
                <w:sz w:val="24"/>
              </w:rPr>
              <w:t>十四、国有资本经营预算财政拨款支出决算表</w:t>
            </w:r>
            <w:r w:rsidRPr="00BB361D">
              <w:rPr>
                <w:rFonts w:ascii="仿宋" w:eastAsia="仿宋" w:hAnsi="仿宋"/>
                <w:noProof/>
                <w:webHidden/>
                <w:sz w:val="24"/>
              </w:rPr>
              <w:tab/>
            </w:r>
            <w:r w:rsidRPr="00BB361D">
              <w:rPr>
                <w:rFonts w:ascii="仿宋" w:eastAsia="仿宋" w:hAnsi="仿宋"/>
                <w:noProof/>
                <w:webHidden/>
                <w:sz w:val="24"/>
              </w:rPr>
              <w:fldChar w:fldCharType="begin"/>
            </w:r>
            <w:r w:rsidRPr="00BB361D">
              <w:rPr>
                <w:rFonts w:ascii="仿宋" w:eastAsia="仿宋" w:hAnsi="仿宋"/>
                <w:noProof/>
                <w:webHidden/>
                <w:sz w:val="24"/>
              </w:rPr>
              <w:instrText xml:space="preserve"> PAGEREF _Toc119075211 \h </w:instrText>
            </w:r>
            <w:r w:rsidRPr="00BB361D">
              <w:rPr>
                <w:rFonts w:ascii="仿宋" w:eastAsia="仿宋" w:hAnsi="仿宋"/>
                <w:noProof/>
                <w:webHidden/>
                <w:sz w:val="24"/>
              </w:rPr>
            </w:r>
            <w:r w:rsidRPr="00BB361D">
              <w:rPr>
                <w:rFonts w:ascii="仿宋" w:eastAsia="仿宋" w:hAnsi="仿宋"/>
                <w:noProof/>
                <w:webHidden/>
                <w:sz w:val="24"/>
              </w:rPr>
              <w:fldChar w:fldCharType="separate"/>
            </w:r>
            <w:r w:rsidRPr="00BB361D">
              <w:rPr>
                <w:rFonts w:ascii="仿宋" w:eastAsia="仿宋" w:hAnsi="仿宋"/>
                <w:noProof/>
                <w:webHidden/>
                <w:sz w:val="24"/>
              </w:rPr>
              <w:t>37</w:t>
            </w:r>
            <w:r w:rsidRPr="00BB361D">
              <w:rPr>
                <w:rFonts w:ascii="仿宋" w:eastAsia="仿宋" w:hAnsi="仿宋"/>
                <w:noProof/>
                <w:webHidden/>
                <w:sz w:val="24"/>
              </w:rPr>
              <w:fldChar w:fldCharType="end"/>
            </w:r>
          </w:hyperlink>
        </w:p>
        <w:p w14:paraId="4FBE2F99" w14:textId="3001536D" w:rsidR="00447CDA" w:rsidRPr="00447CDA" w:rsidRDefault="00447CDA" w:rsidP="00447CDA">
          <w:pPr>
            <w:spacing w:line="360" w:lineRule="auto"/>
            <w:rPr>
              <w:rFonts w:asciiTheme="minorEastAsia" w:eastAsiaTheme="minorEastAsia" w:hAnsiTheme="minorEastAsia"/>
              <w:sz w:val="24"/>
            </w:rPr>
          </w:pPr>
          <w:r w:rsidRPr="00447CDA">
            <w:rPr>
              <w:rFonts w:asciiTheme="minorEastAsia" w:eastAsiaTheme="minorEastAsia" w:hAnsiTheme="minorEastAsia"/>
              <w:sz w:val="24"/>
              <w:lang w:val="zh-CN"/>
            </w:rPr>
            <w:fldChar w:fldCharType="end"/>
          </w:r>
        </w:p>
      </w:sdtContent>
    </w:sdt>
    <w:p w14:paraId="286EB18B" w14:textId="77777777" w:rsidR="00DC57D8" w:rsidRDefault="00DC57D8">
      <w:pPr>
        <w:pStyle w:val="1"/>
        <w:jc w:val="center"/>
        <w:rPr>
          <w:rFonts w:ascii="黑体" w:eastAsia="黑体" w:hAnsi="黑体"/>
          <w:b w:val="0"/>
        </w:rPr>
        <w:sectPr w:rsidR="00DC57D8">
          <w:headerReference w:type="default" r:id="rId9"/>
          <w:pgSz w:w="11906" w:h="16838"/>
          <w:pgMar w:top="1440" w:right="1800" w:bottom="1440" w:left="1800" w:header="851" w:footer="992" w:gutter="0"/>
          <w:pgNumType w:start="1"/>
          <w:cols w:space="425"/>
          <w:titlePg/>
          <w:docGrid w:type="lines" w:linePitch="312"/>
        </w:sectPr>
      </w:pPr>
    </w:p>
    <w:p w14:paraId="7D0200F0" w14:textId="17B9EF1F" w:rsidR="00DC57D8" w:rsidRPr="00447CDA" w:rsidRDefault="00000000" w:rsidP="00447CDA">
      <w:pPr>
        <w:pStyle w:val="1"/>
        <w:jc w:val="center"/>
        <w:rPr>
          <w:rFonts w:ascii="黑体" w:eastAsia="黑体" w:hAnsi="黑体"/>
          <w:bCs w:val="0"/>
        </w:rPr>
      </w:pPr>
      <w:bookmarkStart w:id="17" w:name="_Toc119075170"/>
      <w:r>
        <w:rPr>
          <w:rFonts w:ascii="黑体" w:eastAsia="黑体" w:hAnsi="黑体" w:hint="eastAsia"/>
          <w:b w:val="0"/>
        </w:rPr>
        <w:lastRenderedPageBreak/>
        <w:t>第一部分 单位</w:t>
      </w:r>
      <w:r>
        <w:rPr>
          <w:rStyle w:val="10"/>
          <w:rFonts w:ascii="黑体" w:eastAsia="黑体" w:hAnsi="黑体" w:hint="eastAsia"/>
        </w:rPr>
        <w:t>概况</w:t>
      </w:r>
      <w:bookmarkEnd w:id="16"/>
      <w:bookmarkEnd w:id="15"/>
      <w:bookmarkEnd w:id="17"/>
    </w:p>
    <w:p w14:paraId="50EAE4E2" w14:textId="77777777" w:rsidR="00DC57D8" w:rsidRDefault="00000000">
      <w:pPr>
        <w:pStyle w:val="2"/>
        <w:numPr>
          <w:ilvl w:val="0"/>
          <w:numId w:val="1"/>
        </w:numPr>
      </w:pPr>
      <w:bookmarkStart w:id="18" w:name="_Toc15396600"/>
      <w:bookmarkStart w:id="19" w:name="_Toc15377197"/>
      <w:bookmarkStart w:id="20" w:name="_Toc119075171"/>
      <w:r>
        <w:rPr>
          <w:rStyle w:val="20"/>
          <w:rFonts w:ascii="黑体" w:eastAsia="黑体" w:hAnsi="黑体" w:hint="eastAsia"/>
        </w:rPr>
        <w:t>职能简介</w:t>
      </w:r>
      <w:bookmarkEnd w:id="20"/>
    </w:p>
    <w:p w14:paraId="5E5B88F1" w14:textId="77777777" w:rsidR="00DC57D8" w:rsidRDefault="00000000">
      <w:pPr>
        <w:spacing w:line="360" w:lineRule="auto"/>
        <w:ind w:firstLineChars="221" w:firstLine="707"/>
        <w:rPr>
          <w:rFonts w:ascii="仿宋" w:eastAsia="仿宋" w:hAnsi="仿宋" w:cs="仿宋"/>
          <w:sz w:val="32"/>
          <w:szCs w:val="32"/>
        </w:rPr>
      </w:pPr>
      <w:r>
        <w:rPr>
          <w:rFonts w:ascii="仿宋" w:eastAsia="仿宋" w:hAnsi="仿宋" w:cs="仿宋" w:hint="eastAsia"/>
          <w:sz w:val="32"/>
          <w:szCs w:val="32"/>
        </w:rPr>
        <w:t>四川省地质调查院是1999年经四川省编委批准成立的具有独立法人资格的事业单位，主要承担基础性、战略性和公益性地质勘查和研究工作，为国家和省政府在自然资源规划、管理、保护和综合利用等方面提供相关基础性地质技术支撑。主要业务范围为区域地质调查、固体矿产勘查、地球化学勘查、遥感地质调查、地质灾害危险性评估、地质灾害治理工程勘查、环境污染防治工程、战略性矿产资源调查、城市地质、地震地质、农业地质，水文地质、工程地质、环境地质，气体矿产勘查，液体矿产勘查、地质灾害治理工程监理、测绘航空摄影、地球物理勘查、地质灾害治理工程设计、摄影测量与遥感、地理信息系统工程等业务。</w:t>
      </w:r>
    </w:p>
    <w:p w14:paraId="78A17364" w14:textId="77777777" w:rsidR="00DC57D8" w:rsidRDefault="00000000">
      <w:pPr>
        <w:pStyle w:val="2"/>
        <w:numPr>
          <w:ilvl w:val="0"/>
          <w:numId w:val="1"/>
        </w:numPr>
        <w:rPr>
          <w:rFonts w:ascii="黑体" w:eastAsia="黑体" w:hAnsi="黑体"/>
          <w:b w:val="0"/>
        </w:rPr>
      </w:pPr>
      <w:bookmarkStart w:id="21" w:name="_Toc119075172"/>
      <w:r>
        <w:rPr>
          <w:rFonts w:ascii="黑体" w:eastAsia="黑体" w:hAnsi="黑体" w:hint="eastAsia"/>
          <w:b w:val="0"/>
        </w:rPr>
        <w:t>2020年重点工作</w:t>
      </w:r>
      <w:bookmarkEnd w:id="18"/>
      <w:bookmarkEnd w:id="19"/>
      <w:r>
        <w:rPr>
          <w:rFonts w:ascii="黑体" w:eastAsia="黑体" w:hAnsi="黑体" w:hint="eastAsia"/>
          <w:b w:val="0"/>
        </w:rPr>
        <w:t>完成情况</w:t>
      </w:r>
      <w:bookmarkEnd w:id="21"/>
    </w:p>
    <w:p w14:paraId="64D4CE78"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一、基础地质工作</w:t>
      </w:r>
    </w:p>
    <w:p w14:paraId="5301B745"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川省地质勘查规划（2021-2030）”、“四川省战略性矿产资源储备调查与评价”等工作，为科学全面的部署全省下一阶段地质勘查、矿产资源管理提供科学依据。全面总结四川省区域地质、矿产地质工作的“中国区域地质志·四川卷”、“中国矿产地质志·四川卷”即将交付出版，将是</w:t>
      </w:r>
      <w:r>
        <w:rPr>
          <w:rFonts w:ascii="仿宋" w:eastAsia="仿宋" w:hAnsi="仿宋" w:cs="仿宋" w:hint="eastAsia"/>
          <w:sz w:val="32"/>
          <w:szCs w:val="32"/>
        </w:rPr>
        <w:lastRenderedPageBreak/>
        <w:t>全省地质工作者开展基础地质、矿产资源调查和研究的重要工具书和重要参考资料。</w:t>
      </w:r>
    </w:p>
    <w:p w14:paraId="03E0BE91"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二、矿产地质调查</w:t>
      </w:r>
    </w:p>
    <w:p w14:paraId="5FFB74C0"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2020年在川西甲基卡等地区锂矿找矿勘探和科学研究工作以及义敦海子山和小金县稀有金属找矿工作也有新的突破；四川盆地及周边中生代陆相沉积建造中</w:t>
      </w:r>
      <w:proofErr w:type="gramStart"/>
      <w:r>
        <w:rPr>
          <w:rFonts w:ascii="仿宋" w:eastAsia="仿宋" w:hAnsi="仿宋" w:cs="仿宋" w:hint="eastAsia"/>
          <w:sz w:val="32"/>
          <w:szCs w:val="32"/>
        </w:rPr>
        <w:t>钼</w:t>
      </w:r>
      <w:proofErr w:type="gramEnd"/>
      <w:r>
        <w:rPr>
          <w:rFonts w:ascii="仿宋" w:eastAsia="仿宋" w:hAnsi="仿宋" w:cs="仿宋" w:hint="eastAsia"/>
          <w:sz w:val="32"/>
          <w:szCs w:val="32"/>
        </w:rPr>
        <w:t>、</w:t>
      </w:r>
      <w:proofErr w:type="gramStart"/>
      <w:r>
        <w:rPr>
          <w:rFonts w:ascii="仿宋" w:eastAsia="仿宋" w:hAnsi="仿宋" w:cs="仿宋" w:hint="eastAsia"/>
          <w:sz w:val="32"/>
          <w:szCs w:val="32"/>
        </w:rPr>
        <w:t>铼</w:t>
      </w:r>
      <w:proofErr w:type="gramEnd"/>
      <w:r>
        <w:rPr>
          <w:rFonts w:ascii="仿宋" w:eastAsia="仿宋" w:hAnsi="仿宋" w:cs="仿宋" w:hint="eastAsia"/>
          <w:sz w:val="32"/>
          <w:szCs w:val="32"/>
        </w:rPr>
        <w:t>等稀有稀散元素资源富集规律基础调查、会理岔河-天宝山地区铅锌锡多金属</w:t>
      </w:r>
      <w:proofErr w:type="gramStart"/>
      <w:r>
        <w:rPr>
          <w:rFonts w:ascii="仿宋" w:eastAsia="仿宋" w:hAnsi="仿宋" w:cs="仿宋" w:hint="eastAsia"/>
          <w:sz w:val="32"/>
          <w:szCs w:val="32"/>
        </w:rPr>
        <w:t>矿</w:t>
      </w:r>
      <w:proofErr w:type="gramEnd"/>
      <w:r>
        <w:rPr>
          <w:rFonts w:ascii="仿宋" w:eastAsia="仿宋" w:hAnsi="仿宋" w:cs="仿宋" w:hint="eastAsia"/>
          <w:sz w:val="32"/>
          <w:szCs w:val="32"/>
        </w:rPr>
        <w:t>矿产地质调查等都取得了很大的进展。</w:t>
      </w:r>
    </w:p>
    <w:p w14:paraId="4CBACCCE"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三、地球化学</w:t>
      </w:r>
    </w:p>
    <w:p w14:paraId="354FD99F"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以土壤污染调查为切入点，顺利完成了四川省重点行业企业用地调查工作。加强成果转化，编制《屏山县2020-2025年富硒产业发展规划》，为地方政府履行土地资源管理、农业规划布局、农产品提质升级、农业结构调整、土壤环境保护、农产品地理标志产品建设和生态原产地保护及脱贫攻坚等提供科学依据和技术支撑。</w:t>
      </w:r>
    </w:p>
    <w:p w14:paraId="535C79FC"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四、遥感地质及地灾防治</w:t>
      </w:r>
    </w:p>
    <w:p w14:paraId="1DC08E7E"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多手段推进“基础地质+遥感地质+地质灾害”综合示范调查，服务于防灾减灾，参与了在西藏</w:t>
      </w:r>
      <w:proofErr w:type="gramStart"/>
      <w:r>
        <w:rPr>
          <w:rFonts w:ascii="仿宋" w:eastAsia="仿宋" w:hAnsi="仿宋" w:cs="仿宋" w:hint="eastAsia"/>
          <w:sz w:val="32"/>
          <w:szCs w:val="32"/>
        </w:rPr>
        <w:t>金翁错</w:t>
      </w:r>
      <w:proofErr w:type="gramEnd"/>
      <w:r>
        <w:rPr>
          <w:rFonts w:ascii="仿宋" w:eastAsia="仿宋" w:hAnsi="仿宋" w:cs="仿宋" w:hint="eastAsia"/>
          <w:sz w:val="32"/>
          <w:szCs w:val="32"/>
        </w:rPr>
        <w:t>冰湖溃决、丹巴县“6.17”强降雨等多起地质灾害应急抢险救灾工作，完成了宜宾、彭州、九寨沟地震灾区等地质灾害遥感调查与监测、风险调查评价等多项工作，为抢险救灾、抢救人民生命财产及时提供了重要的科学依据。</w:t>
      </w:r>
    </w:p>
    <w:p w14:paraId="7F27385C"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五、城市地质调查</w:t>
      </w:r>
    </w:p>
    <w:p w14:paraId="1EAA114B"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成都市城市地下空间资源地质调查是四川省首批重要城镇地下空间调查示范性项目，已在数据标准体系制定、城市地质数据库建设、多要素三维地质模型建设、城市地质信息系统平台研发等方面取得了突破性、引领性和关键性的阶段成果，为成都实现地上地下一体化管理，打造“数字成都、透明成都、智慧成都”奠定了坚实基础。</w:t>
      </w:r>
    </w:p>
    <w:p w14:paraId="7D662510"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六、地震地质</w:t>
      </w:r>
    </w:p>
    <w:p w14:paraId="52A8C734"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川地震灾害频发，加强对活动构造体系的综合研究，为预防地震地质灾害夯实地质基础，承担的甘孜州1:25万活动断层普查和汶川县城区规划范围地震断裂带活动性鉴定及建设用地适宜性评价等将有助于防范化解重大地震灾害风险，有助于政府管理部门提高防震减灾综合能力、提升自然灾害防治能力。</w:t>
      </w:r>
    </w:p>
    <w:p w14:paraId="2FEF016A" w14:textId="77777777" w:rsidR="00DC57D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七、地质数据信息化</w:t>
      </w:r>
    </w:p>
    <w:p w14:paraId="7F160C15" w14:textId="77777777" w:rsidR="00DC57D8" w:rsidRDefault="00000000">
      <w:pPr>
        <w:spacing w:line="360" w:lineRule="auto"/>
        <w:ind w:firstLineChars="200" w:firstLine="640"/>
        <w:rPr>
          <w:rFonts w:ascii="仿宋" w:eastAsia="仿宋" w:hAnsi="仿宋" w:cs="仿宋"/>
          <w:color w:val="FF0000"/>
          <w:sz w:val="32"/>
          <w:szCs w:val="32"/>
        </w:rPr>
      </w:pPr>
      <w:r>
        <w:rPr>
          <w:rFonts w:ascii="仿宋" w:eastAsia="仿宋" w:hAnsi="仿宋" w:cs="仿宋" w:hint="eastAsia"/>
          <w:sz w:val="32"/>
          <w:szCs w:val="32"/>
        </w:rPr>
        <w:t>加强地质数据信息化建设，推动地质工作由传统技术服务向大数据、</w:t>
      </w:r>
      <w:proofErr w:type="gramStart"/>
      <w:r>
        <w:rPr>
          <w:rFonts w:ascii="仿宋" w:eastAsia="仿宋" w:hAnsi="仿宋" w:cs="仿宋" w:hint="eastAsia"/>
          <w:sz w:val="32"/>
          <w:szCs w:val="32"/>
        </w:rPr>
        <w:t>云计算</w:t>
      </w:r>
      <w:proofErr w:type="gramEnd"/>
      <w:r>
        <w:rPr>
          <w:rFonts w:ascii="仿宋" w:eastAsia="仿宋" w:hAnsi="仿宋" w:cs="仿宋" w:hint="eastAsia"/>
          <w:sz w:val="32"/>
          <w:szCs w:val="32"/>
        </w:rPr>
        <w:t>下的综合地质信息（技术）的转变，完成了四川省地质大数据平台建设1.0版，完成了整合建库工作的资料元数据录入的软件与系统研发等。</w:t>
      </w:r>
    </w:p>
    <w:p w14:paraId="138AB848" w14:textId="611C27B2" w:rsidR="00447CDA" w:rsidRDefault="00ED588E" w:rsidP="00447CDA">
      <w:pPr>
        <w:pStyle w:val="2"/>
        <w:numPr>
          <w:ilvl w:val="0"/>
          <w:numId w:val="1"/>
        </w:numPr>
        <w:rPr>
          <w:rFonts w:ascii="黑体" w:eastAsia="黑体" w:hAnsi="黑体"/>
          <w:b w:val="0"/>
        </w:rPr>
      </w:pPr>
      <w:bookmarkStart w:id="22" w:name="_Hlk119075011"/>
      <w:bookmarkStart w:id="23" w:name="_Toc119075173"/>
      <w:r>
        <w:rPr>
          <w:rFonts w:ascii="黑体" w:eastAsia="黑体" w:hAnsi="黑体" w:hint="eastAsia"/>
          <w:b w:val="0"/>
        </w:rPr>
        <w:t>机构设置情况</w:t>
      </w:r>
      <w:bookmarkEnd w:id="23"/>
    </w:p>
    <w:p w14:paraId="5BA0F649" w14:textId="717D4CE3" w:rsidR="00F120B3" w:rsidRPr="00F120B3" w:rsidRDefault="00F120B3" w:rsidP="00F120B3">
      <w:pPr>
        <w:spacing w:line="360" w:lineRule="auto"/>
        <w:ind w:firstLineChars="200" w:firstLine="640"/>
        <w:rPr>
          <w:rFonts w:ascii="仿宋" w:eastAsia="仿宋" w:hAnsi="仿宋" w:cs="仿宋"/>
          <w:sz w:val="32"/>
          <w:szCs w:val="32"/>
        </w:rPr>
      </w:pPr>
      <w:r w:rsidRPr="00F120B3">
        <w:rPr>
          <w:rFonts w:ascii="仿宋" w:eastAsia="仿宋" w:hAnsi="仿宋" w:cs="仿宋" w:hint="eastAsia"/>
          <w:sz w:val="32"/>
          <w:szCs w:val="32"/>
        </w:rPr>
        <w:t>四川省地质调查院机构、职能科室共25个，设置如下：</w:t>
      </w:r>
    </w:p>
    <w:p w14:paraId="0BDA73E6" w14:textId="49152835" w:rsidR="00447CDA" w:rsidRDefault="00F120B3" w:rsidP="00F120B3">
      <w:pPr>
        <w:spacing w:line="360" w:lineRule="auto"/>
        <w:ind w:firstLineChars="200" w:firstLine="640"/>
        <w:rPr>
          <w:rFonts w:ascii="仿宋" w:eastAsia="仿宋" w:hAnsi="仿宋" w:cs="仿宋"/>
          <w:sz w:val="32"/>
          <w:szCs w:val="32"/>
        </w:rPr>
      </w:pPr>
      <w:r w:rsidRPr="00F120B3">
        <w:rPr>
          <w:rFonts w:ascii="仿宋" w:eastAsia="仿宋" w:hAnsi="仿宋" w:cs="仿宋" w:hint="eastAsia"/>
          <w:sz w:val="32"/>
          <w:szCs w:val="32"/>
        </w:rPr>
        <w:lastRenderedPageBreak/>
        <w:t>党群工作部、财务预决算部、人力资源部、生产技术部、基础部、安全技术部、风险控制部、审计办公室、质量管理办公室、</w:t>
      </w:r>
      <w:proofErr w:type="gramStart"/>
      <w:r w:rsidRPr="00F120B3">
        <w:rPr>
          <w:rFonts w:ascii="仿宋" w:eastAsia="仿宋" w:hAnsi="仿宋" w:cs="仿宋" w:hint="eastAsia"/>
          <w:sz w:val="32"/>
          <w:szCs w:val="32"/>
        </w:rPr>
        <w:t>水工环</w:t>
      </w:r>
      <w:proofErr w:type="gramEnd"/>
      <w:r w:rsidRPr="00F120B3">
        <w:rPr>
          <w:rFonts w:ascii="仿宋" w:eastAsia="仿宋" w:hAnsi="仿宋" w:cs="仿宋" w:hint="eastAsia"/>
          <w:sz w:val="32"/>
          <w:szCs w:val="32"/>
        </w:rPr>
        <w:t>部、物业装备部、离退休服务部、档案馆、综合管理办公室、地球化学勘查中心、自然资源调查研究中心、地质科技应用创新中心、</w:t>
      </w:r>
      <w:proofErr w:type="gramStart"/>
      <w:r w:rsidRPr="00F120B3">
        <w:rPr>
          <w:rFonts w:ascii="仿宋" w:eastAsia="仿宋" w:hAnsi="仿宋" w:cs="仿宋" w:hint="eastAsia"/>
          <w:sz w:val="32"/>
          <w:szCs w:val="32"/>
        </w:rPr>
        <w:t>水工环</w:t>
      </w:r>
      <w:proofErr w:type="gramEnd"/>
      <w:r w:rsidRPr="00F120B3">
        <w:rPr>
          <w:rFonts w:ascii="仿宋" w:eastAsia="仿宋" w:hAnsi="仿宋" w:cs="仿宋" w:hint="eastAsia"/>
          <w:sz w:val="32"/>
          <w:szCs w:val="32"/>
        </w:rPr>
        <w:t>中心、环境评价中心、遥感中心、地质信息技术中心、战略性关键矿产研究中心、地质勘查中心、新构造研究中心、区域地质调查中心</w:t>
      </w:r>
      <w:r w:rsidR="00ED588E">
        <w:rPr>
          <w:rFonts w:ascii="仿宋" w:eastAsia="仿宋" w:hAnsi="仿宋" w:cs="仿宋" w:hint="eastAsia"/>
          <w:sz w:val="32"/>
          <w:szCs w:val="32"/>
        </w:rPr>
        <w:t>。</w:t>
      </w:r>
    </w:p>
    <w:bookmarkEnd w:id="22"/>
    <w:p w14:paraId="5E03AE51" w14:textId="41D1EEB9" w:rsidR="00DC57D8" w:rsidRPr="00447CDA" w:rsidRDefault="00447CDA">
      <w:pPr>
        <w:pStyle w:val="a0"/>
        <w:spacing w:before="93"/>
      </w:pPr>
      <w:r>
        <w:br w:type="page"/>
      </w:r>
    </w:p>
    <w:p w14:paraId="4E4350F0" w14:textId="77777777" w:rsidR="00DC57D8" w:rsidRDefault="00000000">
      <w:pPr>
        <w:pStyle w:val="1"/>
        <w:ind w:right="440"/>
        <w:jc w:val="center"/>
        <w:rPr>
          <w:rStyle w:val="10"/>
          <w:rFonts w:ascii="黑体" w:eastAsia="黑体" w:hAnsi="黑体"/>
          <w:bCs/>
        </w:rPr>
      </w:pPr>
      <w:bookmarkStart w:id="24" w:name="_Toc15377204"/>
      <w:bookmarkStart w:id="25" w:name="_Toc15396602"/>
      <w:bookmarkStart w:id="26" w:name="_Toc119075174"/>
      <w:r>
        <w:rPr>
          <w:rFonts w:ascii="黑体" w:eastAsia="黑体" w:hAnsi="黑体" w:hint="eastAsia"/>
          <w:b w:val="0"/>
        </w:rPr>
        <w:lastRenderedPageBreak/>
        <w:t>第二部分 2020年度</w:t>
      </w:r>
      <w:r>
        <w:rPr>
          <w:rStyle w:val="10"/>
          <w:rFonts w:ascii="黑体" w:eastAsia="黑体" w:hAnsi="黑体" w:hint="eastAsia"/>
          <w:bCs/>
        </w:rPr>
        <w:t>单位决算情况说明</w:t>
      </w:r>
      <w:bookmarkEnd w:id="24"/>
      <w:bookmarkEnd w:id="25"/>
      <w:bookmarkEnd w:id="26"/>
    </w:p>
    <w:p w14:paraId="0784D62A" w14:textId="77777777" w:rsidR="00DC57D8" w:rsidRDefault="00DC57D8"/>
    <w:p w14:paraId="0E18CDF8" w14:textId="77777777" w:rsidR="00DC57D8" w:rsidRDefault="00000000">
      <w:pPr>
        <w:pStyle w:val="af"/>
        <w:numPr>
          <w:ilvl w:val="0"/>
          <w:numId w:val="2"/>
        </w:numPr>
        <w:spacing w:line="600" w:lineRule="exact"/>
        <w:ind w:firstLineChars="0"/>
        <w:outlineLvl w:val="1"/>
        <w:rPr>
          <w:rStyle w:val="20"/>
          <w:rFonts w:ascii="黑体" w:eastAsia="黑体" w:hAnsi="黑体"/>
          <w:b w:val="0"/>
          <w:color w:val="000000" w:themeColor="text1"/>
        </w:rPr>
      </w:pPr>
      <w:bookmarkStart w:id="27" w:name="_Toc15396603"/>
      <w:bookmarkStart w:id="28" w:name="_Toc15377205"/>
      <w:bookmarkStart w:id="29" w:name="_Toc119075175"/>
      <w:r>
        <w:rPr>
          <w:rFonts w:ascii="黑体" w:eastAsia="黑体" w:hAnsi="黑体" w:hint="eastAsia"/>
          <w:color w:val="000000" w:themeColor="text1"/>
          <w:sz w:val="32"/>
          <w:szCs w:val="32"/>
        </w:rPr>
        <w:t>收</w:t>
      </w:r>
      <w:r>
        <w:rPr>
          <w:rStyle w:val="20"/>
          <w:rFonts w:ascii="黑体" w:eastAsia="黑体" w:hAnsi="黑体" w:hint="eastAsia"/>
          <w:b w:val="0"/>
          <w:color w:val="000000" w:themeColor="text1"/>
        </w:rPr>
        <w:t>入支出决算总体情况说明</w:t>
      </w:r>
      <w:bookmarkEnd w:id="27"/>
      <w:bookmarkEnd w:id="28"/>
      <w:bookmarkEnd w:id="29"/>
    </w:p>
    <w:p w14:paraId="68A26C39" w14:textId="77777777" w:rsidR="00DC57D8" w:rsidRDefault="0000000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2020年度收支总计：12351.95万元。与2019年相比，收支总计增加1325.90万元，增长12.03</w:t>
      </w:r>
      <w:r>
        <w:rPr>
          <w:rFonts w:ascii="仿宋" w:eastAsia="仿宋" w:hAnsi="仿宋"/>
          <w:color w:val="000000"/>
          <w:sz w:val="32"/>
          <w:szCs w:val="32"/>
        </w:rPr>
        <w:t>%</w:t>
      </w:r>
      <w:r>
        <w:rPr>
          <w:rFonts w:ascii="仿宋" w:eastAsia="仿宋" w:hAnsi="仿宋" w:hint="eastAsia"/>
          <w:color w:val="000000"/>
          <w:sz w:val="32"/>
          <w:szCs w:val="32"/>
        </w:rPr>
        <w:t>。主要变动原因：节能环保项目经费及经营项目经费的增加。</w:t>
      </w:r>
    </w:p>
    <w:p w14:paraId="3A1EAB56" w14:textId="77777777" w:rsidR="00DC57D8" w:rsidRDefault="00000000">
      <w:pPr>
        <w:pStyle w:val="a0"/>
        <w:spacing w:before="93"/>
        <w:rPr>
          <w:rFonts w:ascii="仿宋" w:eastAsia="仿宋" w:hAnsi="仿宋"/>
          <w:b/>
          <w:bCs/>
          <w:sz w:val="32"/>
          <w:szCs w:val="32"/>
        </w:rPr>
      </w:pPr>
      <w:r>
        <w:rPr>
          <w:rFonts w:ascii="仿宋" w:eastAsia="仿宋" w:hAnsi="仿宋" w:hint="eastAsia"/>
          <w:color w:val="000000"/>
          <w:sz w:val="32"/>
          <w:szCs w:val="32"/>
        </w:rPr>
        <w:t xml:space="preserve">    </w:t>
      </w:r>
      <w:r>
        <w:rPr>
          <w:rFonts w:ascii="仿宋" w:eastAsia="仿宋" w:hAnsi="仿宋" w:hint="eastAsia"/>
          <w:b/>
          <w:bCs/>
          <w:sz w:val="32"/>
          <w:szCs w:val="32"/>
        </w:rPr>
        <w:t xml:space="preserve">  图</w:t>
      </w:r>
      <w:r>
        <w:rPr>
          <w:rFonts w:ascii="仿宋" w:eastAsia="仿宋" w:hAnsi="仿宋"/>
          <w:b/>
          <w:bCs/>
          <w:sz w:val="32"/>
          <w:szCs w:val="32"/>
        </w:rPr>
        <w:t>1</w:t>
      </w:r>
      <w:r>
        <w:rPr>
          <w:rFonts w:ascii="仿宋" w:eastAsia="仿宋" w:hAnsi="仿宋" w:hint="eastAsia"/>
          <w:b/>
          <w:bCs/>
          <w:sz w:val="32"/>
          <w:szCs w:val="32"/>
        </w:rPr>
        <w:t>：收、支决算总计变动情况图</w:t>
      </w:r>
      <w:r>
        <w:rPr>
          <w:rFonts w:ascii="仿宋" w:eastAsia="仿宋" w:hAnsi="仿宋" w:hint="eastAsia"/>
          <w:b/>
          <w:bCs/>
          <w:color w:val="000000" w:themeColor="text1"/>
          <w:sz w:val="32"/>
          <w:szCs w:val="32"/>
        </w:rPr>
        <w:t>（单位：万元）</w:t>
      </w:r>
    </w:p>
    <w:p w14:paraId="459FD9E9" w14:textId="77777777" w:rsidR="00DC57D8" w:rsidRDefault="00000000">
      <w:pPr>
        <w:pStyle w:val="a0"/>
        <w:spacing w:before="93"/>
      </w:pPr>
      <w:r>
        <w:rPr>
          <w:noProof/>
        </w:rPr>
        <w:drawing>
          <wp:inline distT="0" distB="0" distL="114300" distR="114300" wp14:anchorId="15AF3D98" wp14:editId="7EDAA3B1">
            <wp:extent cx="5127625" cy="3268980"/>
            <wp:effectExtent l="4445" t="4445" r="19050" b="1841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77870E" w14:textId="77777777" w:rsidR="00DC57D8" w:rsidRDefault="00DC57D8">
      <w:pPr>
        <w:pStyle w:val="a0"/>
        <w:spacing w:before="93"/>
      </w:pPr>
    </w:p>
    <w:p w14:paraId="2484DB89" w14:textId="77777777" w:rsidR="00DC57D8" w:rsidRDefault="00000000">
      <w:pPr>
        <w:pStyle w:val="af"/>
        <w:numPr>
          <w:ilvl w:val="0"/>
          <w:numId w:val="2"/>
        </w:numPr>
        <w:spacing w:line="600" w:lineRule="exact"/>
        <w:ind w:firstLineChars="0"/>
        <w:outlineLvl w:val="1"/>
        <w:rPr>
          <w:rStyle w:val="20"/>
          <w:rFonts w:ascii="黑体" w:eastAsia="黑体" w:hAnsi="黑体"/>
          <w:b w:val="0"/>
        </w:rPr>
      </w:pPr>
      <w:bookmarkStart w:id="30" w:name="_Toc15377206"/>
      <w:bookmarkStart w:id="31" w:name="_Toc15396604"/>
      <w:bookmarkStart w:id="32" w:name="_Toc119075176"/>
      <w:r>
        <w:rPr>
          <w:rFonts w:ascii="黑体" w:eastAsia="黑体" w:hAnsi="黑体" w:hint="eastAsia"/>
          <w:color w:val="000000"/>
          <w:sz w:val="32"/>
          <w:szCs w:val="32"/>
        </w:rPr>
        <w:t>收</w:t>
      </w:r>
      <w:r>
        <w:rPr>
          <w:rStyle w:val="20"/>
          <w:rFonts w:ascii="黑体" w:eastAsia="黑体" w:hAnsi="黑体" w:hint="eastAsia"/>
          <w:b w:val="0"/>
        </w:rPr>
        <w:t>入决算情况说明</w:t>
      </w:r>
      <w:bookmarkEnd w:id="30"/>
      <w:bookmarkEnd w:id="31"/>
      <w:bookmarkEnd w:id="32"/>
    </w:p>
    <w:p w14:paraId="17E6DA22" w14:textId="77777777" w:rsidR="00DC57D8" w:rsidRDefault="00000000">
      <w:pPr>
        <w:spacing w:line="600" w:lineRule="exact"/>
        <w:ind w:firstLineChars="200" w:firstLine="640"/>
        <w:outlineLvl w:val="1"/>
        <w:rPr>
          <w:rFonts w:ascii="仿宋" w:eastAsia="仿宋" w:hAnsi="仿宋"/>
          <w:color w:val="000000"/>
          <w:sz w:val="32"/>
          <w:szCs w:val="32"/>
        </w:rPr>
      </w:pPr>
      <w:bookmarkStart w:id="33" w:name="_Toc119070452"/>
      <w:bookmarkStart w:id="34" w:name="_Toc119075177"/>
      <w:r>
        <w:rPr>
          <w:rFonts w:ascii="仿宋" w:eastAsia="仿宋" w:hAnsi="仿宋"/>
          <w:color w:val="000000"/>
          <w:sz w:val="32"/>
          <w:szCs w:val="32"/>
        </w:rPr>
        <w:t>20</w:t>
      </w:r>
      <w:r>
        <w:rPr>
          <w:rFonts w:ascii="仿宋" w:eastAsia="仿宋" w:hAnsi="仿宋" w:hint="eastAsia"/>
          <w:color w:val="000000"/>
          <w:sz w:val="32"/>
          <w:szCs w:val="32"/>
        </w:rPr>
        <w:t>20年本年收入合计11843.04万元，其中：一般公共预算财政拨款收入5174.70万元，占43.69</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；经营收入4351.80万元，占</w:t>
      </w:r>
      <w:r>
        <w:rPr>
          <w:rFonts w:ascii="仿宋" w:eastAsia="仿宋" w:hAnsi="仿宋" w:hint="eastAsia"/>
          <w:color w:val="000000"/>
          <w:sz w:val="32"/>
          <w:szCs w:val="32"/>
        </w:rPr>
        <w:lastRenderedPageBreak/>
        <w:t>36.75</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；其他收入2316.54万元，占19.56</w:t>
      </w:r>
      <w:r>
        <w:rPr>
          <w:rFonts w:ascii="仿宋" w:eastAsia="仿宋" w:hAnsi="仿宋"/>
          <w:color w:val="000000"/>
          <w:sz w:val="32"/>
          <w:szCs w:val="32"/>
        </w:rPr>
        <w:t>%</w:t>
      </w:r>
      <w:r>
        <w:rPr>
          <w:rFonts w:ascii="仿宋" w:eastAsia="仿宋" w:hAnsi="仿宋" w:hint="eastAsia"/>
          <w:color w:val="000000"/>
          <w:sz w:val="32"/>
          <w:szCs w:val="32"/>
        </w:rPr>
        <w:t>。</w:t>
      </w:r>
      <w:bookmarkEnd w:id="33"/>
      <w:bookmarkEnd w:id="34"/>
    </w:p>
    <w:p w14:paraId="0E4B0925" w14:textId="77777777" w:rsidR="00DC57D8" w:rsidRDefault="00000000">
      <w:pPr>
        <w:spacing w:line="600" w:lineRule="exact"/>
        <w:ind w:firstLineChars="800" w:firstLine="2570"/>
        <w:rPr>
          <w:rFonts w:ascii="仿宋" w:eastAsia="仿宋" w:hAnsi="仿宋"/>
          <w:b/>
          <w:bCs/>
          <w:sz w:val="32"/>
          <w:szCs w:val="32"/>
        </w:rPr>
      </w:pPr>
      <w:r>
        <w:rPr>
          <w:rFonts w:ascii="仿宋" w:eastAsia="仿宋" w:hAnsi="仿宋" w:hint="eastAsia"/>
          <w:b/>
          <w:bCs/>
          <w:sz w:val="32"/>
          <w:szCs w:val="32"/>
        </w:rPr>
        <w:t>图2：收入决算结构图</w:t>
      </w:r>
    </w:p>
    <w:p w14:paraId="6FAA8C28" w14:textId="77777777" w:rsidR="00DC57D8" w:rsidRDefault="00DC57D8">
      <w:pPr>
        <w:pStyle w:val="a0"/>
        <w:spacing w:before="93"/>
      </w:pPr>
    </w:p>
    <w:p w14:paraId="7CCFD1D0" w14:textId="77777777" w:rsidR="00DC57D8" w:rsidRDefault="00000000">
      <w:pPr>
        <w:pStyle w:val="a0"/>
        <w:spacing w:before="93"/>
        <w:rPr>
          <w:color w:val="FF0000"/>
          <w:sz w:val="32"/>
          <w:szCs w:val="32"/>
        </w:rPr>
      </w:pPr>
      <w:r>
        <w:rPr>
          <w:noProof/>
        </w:rPr>
        <w:drawing>
          <wp:inline distT="0" distB="0" distL="114300" distR="114300" wp14:anchorId="24C6B557" wp14:editId="76277DC7">
            <wp:extent cx="5409565" cy="3138805"/>
            <wp:effectExtent l="4445" t="4445" r="11430" b="1143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B11F5C" w14:textId="77777777" w:rsidR="00DC57D8" w:rsidRDefault="00000000">
      <w:pPr>
        <w:pStyle w:val="af"/>
        <w:numPr>
          <w:ilvl w:val="0"/>
          <w:numId w:val="2"/>
        </w:numPr>
        <w:spacing w:line="600" w:lineRule="exact"/>
        <w:ind w:firstLineChars="0"/>
        <w:outlineLvl w:val="1"/>
        <w:rPr>
          <w:rStyle w:val="20"/>
          <w:rFonts w:ascii="黑体" w:eastAsia="黑体" w:hAnsi="黑体"/>
          <w:b w:val="0"/>
        </w:rPr>
      </w:pPr>
      <w:bookmarkStart w:id="35" w:name="_Toc15377207"/>
      <w:bookmarkStart w:id="36" w:name="_Toc15396605"/>
      <w:bookmarkStart w:id="37" w:name="_Toc119075178"/>
      <w:r>
        <w:rPr>
          <w:rFonts w:ascii="黑体" w:eastAsia="黑体" w:hAnsi="黑体" w:hint="eastAsia"/>
          <w:color w:val="000000"/>
          <w:sz w:val="32"/>
          <w:szCs w:val="32"/>
        </w:rPr>
        <w:t>支</w:t>
      </w:r>
      <w:r>
        <w:rPr>
          <w:rStyle w:val="20"/>
          <w:rFonts w:ascii="黑体" w:eastAsia="黑体" w:hAnsi="黑体" w:hint="eastAsia"/>
          <w:b w:val="0"/>
        </w:rPr>
        <w:t>出决算情况说明</w:t>
      </w:r>
      <w:bookmarkEnd w:id="35"/>
      <w:bookmarkEnd w:id="36"/>
      <w:bookmarkEnd w:id="37"/>
    </w:p>
    <w:p w14:paraId="650CDD91" w14:textId="77777777" w:rsidR="00DC57D8" w:rsidRDefault="00000000">
      <w:pPr>
        <w:spacing w:line="600" w:lineRule="exact"/>
        <w:ind w:firstLineChars="200" w:firstLine="640"/>
        <w:outlineLvl w:val="1"/>
        <w:rPr>
          <w:rFonts w:ascii="仿宋" w:eastAsia="仿宋" w:hAnsi="仿宋"/>
          <w:color w:val="000000"/>
          <w:sz w:val="32"/>
          <w:szCs w:val="32"/>
        </w:rPr>
      </w:pPr>
      <w:bookmarkStart w:id="38" w:name="_Toc119070454"/>
      <w:bookmarkStart w:id="39" w:name="_Toc119075179"/>
      <w:r>
        <w:rPr>
          <w:rFonts w:ascii="仿宋" w:eastAsia="仿宋" w:hAnsi="仿宋"/>
          <w:color w:val="000000"/>
          <w:sz w:val="32"/>
          <w:szCs w:val="32"/>
        </w:rPr>
        <w:t>20</w:t>
      </w:r>
      <w:r>
        <w:rPr>
          <w:rFonts w:ascii="仿宋" w:eastAsia="仿宋" w:hAnsi="仿宋" w:hint="eastAsia"/>
          <w:color w:val="000000"/>
          <w:sz w:val="32"/>
          <w:szCs w:val="32"/>
        </w:rPr>
        <w:t>20年本年支出合计9531.45万元，其中：基本支出2987.74万元，占31.35</w:t>
      </w:r>
      <w:r>
        <w:rPr>
          <w:rFonts w:ascii="仿宋" w:eastAsia="仿宋" w:hAnsi="仿宋"/>
          <w:color w:val="000000"/>
          <w:sz w:val="32"/>
          <w:szCs w:val="32"/>
        </w:rPr>
        <w:t>%</w:t>
      </w:r>
      <w:r>
        <w:rPr>
          <w:rFonts w:ascii="仿宋" w:eastAsia="仿宋" w:hAnsi="仿宋" w:hint="eastAsia"/>
          <w:color w:val="000000"/>
          <w:sz w:val="32"/>
          <w:szCs w:val="32"/>
        </w:rPr>
        <w:t>；项目支出4201.67万元，占44.08</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；经营支出2342.04万元，占24.57</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bookmarkEnd w:id="38"/>
      <w:bookmarkEnd w:id="39"/>
    </w:p>
    <w:p w14:paraId="399CF904" w14:textId="77777777" w:rsidR="00DC57D8" w:rsidRDefault="00DC57D8">
      <w:pPr>
        <w:pStyle w:val="a0"/>
        <w:spacing w:before="93"/>
      </w:pPr>
    </w:p>
    <w:p w14:paraId="5609D329" w14:textId="77777777" w:rsidR="00DC57D8" w:rsidRDefault="00DC57D8">
      <w:pPr>
        <w:pStyle w:val="a0"/>
        <w:spacing w:before="93"/>
        <w:rPr>
          <w:rFonts w:ascii="仿宋" w:eastAsia="仿宋" w:hAnsi="仿宋"/>
          <w:color w:val="000000"/>
          <w:sz w:val="32"/>
          <w:szCs w:val="32"/>
        </w:rPr>
      </w:pPr>
    </w:p>
    <w:p w14:paraId="51F6BB63" w14:textId="77777777" w:rsidR="00DC57D8" w:rsidRDefault="00DC57D8">
      <w:pPr>
        <w:pStyle w:val="a0"/>
        <w:spacing w:before="93"/>
        <w:rPr>
          <w:rFonts w:ascii="仿宋" w:eastAsia="仿宋" w:hAnsi="仿宋"/>
          <w:color w:val="000000"/>
          <w:sz w:val="32"/>
          <w:szCs w:val="32"/>
        </w:rPr>
      </w:pPr>
    </w:p>
    <w:p w14:paraId="017FA999" w14:textId="77777777" w:rsidR="00DC57D8" w:rsidRDefault="00000000">
      <w:pPr>
        <w:spacing w:line="600" w:lineRule="exact"/>
        <w:ind w:firstLineChars="800" w:firstLine="2570"/>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图3：支出决算结构图</w:t>
      </w:r>
    </w:p>
    <w:p w14:paraId="199A03E3" w14:textId="77777777" w:rsidR="00DC57D8" w:rsidRDefault="00000000">
      <w:pPr>
        <w:pStyle w:val="a0"/>
        <w:spacing w:before="93"/>
      </w:pPr>
      <w:r>
        <w:rPr>
          <w:rFonts w:ascii="仿宋" w:eastAsia="仿宋" w:hAnsi="仿宋" w:hint="eastAsia"/>
          <w:sz w:val="32"/>
          <w:szCs w:val="32"/>
        </w:rPr>
        <w:lastRenderedPageBreak/>
        <w:t xml:space="preserve">     </w:t>
      </w:r>
      <w:r>
        <w:rPr>
          <w:noProof/>
        </w:rPr>
        <w:drawing>
          <wp:inline distT="0" distB="0" distL="114300" distR="114300" wp14:anchorId="64113DD1" wp14:editId="047D64F4">
            <wp:extent cx="4572000" cy="2743200"/>
            <wp:effectExtent l="4445" t="4445" r="1079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93E2DF" w14:textId="77777777" w:rsidR="00DC57D8" w:rsidRDefault="00DC57D8">
      <w:pPr>
        <w:pStyle w:val="a0"/>
        <w:spacing w:before="93"/>
      </w:pPr>
    </w:p>
    <w:p w14:paraId="78736E52" w14:textId="77777777" w:rsidR="00DC57D8" w:rsidRDefault="00000000">
      <w:pPr>
        <w:spacing w:line="600" w:lineRule="exact"/>
        <w:ind w:firstLineChars="200" w:firstLine="640"/>
        <w:outlineLvl w:val="1"/>
        <w:rPr>
          <w:rStyle w:val="20"/>
          <w:rFonts w:ascii="黑体" w:eastAsia="黑体" w:hAnsi="黑体"/>
          <w:b w:val="0"/>
          <w:color w:val="000000" w:themeColor="text1"/>
        </w:rPr>
      </w:pPr>
      <w:bookmarkStart w:id="40" w:name="_Toc15377208"/>
      <w:bookmarkStart w:id="41" w:name="_Toc15396606"/>
      <w:bookmarkStart w:id="42" w:name="_Toc119075180"/>
      <w:r>
        <w:rPr>
          <w:rFonts w:ascii="黑体" w:eastAsia="黑体" w:hAnsi="黑体" w:hint="eastAsia"/>
          <w:color w:val="000000" w:themeColor="text1"/>
          <w:sz w:val="32"/>
          <w:szCs w:val="32"/>
        </w:rPr>
        <w:t>四、财</w:t>
      </w:r>
      <w:r>
        <w:rPr>
          <w:rStyle w:val="20"/>
          <w:rFonts w:ascii="黑体" w:eastAsia="黑体" w:hAnsi="黑体" w:hint="eastAsia"/>
          <w:b w:val="0"/>
          <w:color w:val="000000" w:themeColor="text1"/>
        </w:rPr>
        <w:t>政拨款收入支出决算总体情况说明</w:t>
      </w:r>
      <w:bookmarkEnd w:id="40"/>
      <w:bookmarkEnd w:id="41"/>
      <w:bookmarkEnd w:id="42"/>
    </w:p>
    <w:p w14:paraId="7F5C381F" w14:textId="77777777" w:rsidR="00DC57D8" w:rsidRDefault="00000000">
      <w:pPr>
        <w:spacing w:line="600" w:lineRule="exact"/>
        <w:ind w:firstLine="640"/>
      </w:pPr>
      <w:r>
        <w:rPr>
          <w:rFonts w:ascii="仿宋" w:eastAsia="仿宋" w:hAnsi="仿宋"/>
          <w:color w:val="000000" w:themeColor="text1"/>
          <w:sz w:val="32"/>
          <w:szCs w:val="32"/>
        </w:rPr>
        <w:t>20</w:t>
      </w:r>
      <w:r>
        <w:rPr>
          <w:rFonts w:ascii="仿宋" w:eastAsia="仿宋" w:hAnsi="仿宋" w:hint="eastAsia"/>
          <w:color w:val="000000" w:themeColor="text1"/>
          <w:sz w:val="32"/>
          <w:szCs w:val="32"/>
        </w:rPr>
        <w:t>20年财政拨款收、支总计5174.70万元。与</w:t>
      </w:r>
      <w:r>
        <w:rPr>
          <w:rFonts w:ascii="仿宋" w:eastAsia="仿宋" w:hAnsi="仿宋"/>
          <w:color w:val="000000"/>
          <w:sz w:val="32"/>
          <w:szCs w:val="32"/>
        </w:rPr>
        <w:t>201</w:t>
      </w:r>
      <w:r>
        <w:rPr>
          <w:rFonts w:ascii="仿宋" w:eastAsia="仿宋" w:hAnsi="仿宋" w:hint="eastAsia"/>
          <w:color w:val="000000"/>
          <w:sz w:val="32"/>
          <w:szCs w:val="32"/>
        </w:rPr>
        <w:t>9年相比，财政拨款收、支总计各增加960.94万元，增长22.80</w:t>
      </w:r>
      <w:r>
        <w:rPr>
          <w:rFonts w:ascii="仿宋" w:eastAsia="仿宋" w:hAnsi="仿宋"/>
          <w:color w:val="000000"/>
          <w:sz w:val="32"/>
          <w:szCs w:val="32"/>
        </w:rPr>
        <w:t>%</w:t>
      </w:r>
      <w:r>
        <w:rPr>
          <w:rFonts w:ascii="仿宋" w:eastAsia="仿宋" w:hAnsi="仿宋" w:hint="eastAsia"/>
          <w:color w:val="000000"/>
          <w:sz w:val="32"/>
          <w:szCs w:val="32"/>
        </w:rPr>
        <w:t>。主要变动原因是增加节能环保项目经费及经营项目经费。</w:t>
      </w:r>
    </w:p>
    <w:p w14:paraId="0FE1F2AD" w14:textId="77777777" w:rsidR="00DC57D8" w:rsidRDefault="00000000">
      <w:pPr>
        <w:spacing w:line="600" w:lineRule="exac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图4：财政拨款收、支决算总计变动情况（单位：万元）</w:t>
      </w:r>
    </w:p>
    <w:p w14:paraId="6A27A299" w14:textId="77777777" w:rsidR="00DC57D8" w:rsidRDefault="00DC57D8">
      <w:pPr>
        <w:pStyle w:val="a0"/>
        <w:spacing w:before="93"/>
      </w:pPr>
    </w:p>
    <w:p w14:paraId="0D95B9ED" w14:textId="77777777" w:rsidR="00DC57D8" w:rsidRDefault="00000000">
      <w:pPr>
        <w:pStyle w:val="a0"/>
        <w:spacing w:before="93"/>
      </w:pPr>
      <w:r>
        <w:rPr>
          <w:rFonts w:ascii="仿宋" w:eastAsia="仿宋" w:hAnsi="仿宋" w:hint="eastAsia"/>
          <w:color w:val="000000" w:themeColor="text1"/>
          <w:sz w:val="32"/>
          <w:szCs w:val="32"/>
        </w:rPr>
        <w:t xml:space="preserve">  </w:t>
      </w:r>
      <w:r>
        <w:rPr>
          <w:noProof/>
        </w:rPr>
        <w:drawing>
          <wp:inline distT="0" distB="0" distL="114300" distR="114300" wp14:anchorId="599698F0" wp14:editId="01762727">
            <wp:extent cx="4572000" cy="2743200"/>
            <wp:effectExtent l="4445" t="4445" r="10795" b="107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0A739E" w14:textId="77777777" w:rsidR="00DC57D8" w:rsidRDefault="00DC57D8">
      <w:pPr>
        <w:pStyle w:val="a0"/>
        <w:spacing w:before="93"/>
      </w:pPr>
    </w:p>
    <w:p w14:paraId="600248EA" w14:textId="77777777" w:rsidR="00DC57D8" w:rsidRDefault="00000000">
      <w:pPr>
        <w:spacing w:line="600" w:lineRule="exact"/>
        <w:ind w:firstLineChars="200" w:firstLine="640"/>
        <w:outlineLvl w:val="1"/>
        <w:rPr>
          <w:rStyle w:val="20"/>
          <w:rFonts w:ascii="黑体" w:eastAsia="黑体" w:hAnsi="黑体"/>
          <w:b w:val="0"/>
        </w:rPr>
      </w:pPr>
      <w:bookmarkStart w:id="43" w:name="_Toc15396607"/>
      <w:bookmarkStart w:id="44" w:name="_Toc15377209"/>
      <w:bookmarkStart w:id="45" w:name="_Toc119075181"/>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43"/>
      <w:bookmarkEnd w:id="44"/>
      <w:bookmarkEnd w:id="45"/>
    </w:p>
    <w:p w14:paraId="52B43503" w14:textId="77777777" w:rsidR="00DC57D8" w:rsidRDefault="00000000">
      <w:pPr>
        <w:spacing w:line="600" w:lineRule="exact"/>
        <w:ind w:firstLineChars="200" w:firstLine="643"/>
        <w:outlineLvl w:val="2"/>
        <w:rPr>
          <w:rFonts w:ascii="仿宋" w:eastAsia="仿宋" w:hAnsi="仿宋"/>
          <w:b/>
          <w:color w:val="000000" w:themeColor="text1"/>
          <w:sz w:val="32"/>
          <w:szCs w:val="32"/>
        </w:rPr>
      </w:pPr>
      <w:bookmarkStart w:id="46" w:name="_Toc15377210"/>
      <w:bookmarkStart w:id="47" w:name="_Toc119075182"/>
      <w:r>
        <w:rPr>
          <w:rFonts w:ascii="仿宋" w:eastAsia="仿宋" w:hAnsi="仿宋" w:hint="eastAsia"/>
          <w:b/>
          <w:color w:val="000000" w:themeColor="text1"/>
          <w:sz w:val="32"/>
          <w:szCs w:val="32"/>
        </w:rPr>
        <w:t>（一）一般公共预算财政拨款支出决算总体情况</w:t>
      </w:r>
      <w:bookmarkEnd w:id="46"/>
      <w:bookmarkEnd w:id="47"/>
    </w:p>
    <w:p w14:paraId="6662A587" w14:textId="77777777" w:rsidR="00DC57D8" w:rsidRDefault="00000000">
      <w:pPr>
        <w:spacing w:line="600" w:lineRule="exact"/>
        <w:ind w:firstLine="640"/>
      </w:pPr>
      <w:r>
        <w:rPr>
          <w:rFonts w:ascii="仿宋" w:eastAsia="仿宋" w:hAnsi="仿宋"/>
          <w:color w:val="000000" w:themeColor="text1"/>
          <w:sz w:val="32"/>
          <w:szCs w:val="32"/>
        </w:rPr>
        <w:t>20</w:t>
      </w:r>
      <w:r>
        <w:rPr>
          <w:rFonts w:ascii="仿宋" w:eastAsia="仿宋" w:hAnsi="仿宋" w:hint="eastAsia"/>
          <w:color w:val="000000" w:themeColor="text1"/>
          <w:sz w:val="32"/>
          <w:szCs w:val="32"/>
        </w:rPr>
        <w:t>20年一般公共预算财政拨款支出5174.70万元，占</w:t>
      </w:r>
      <w:r>
        <w:rPr>
          <w:rFonts w:ascii="仿宋" w:eastAsia="仿宋" w:hAnsi="仿宋" w:hint="eastAsia"/>
          <w:color w:val="000000"/>
          <w:sz w:val="32"/>
          <w:szCs w:val="32"/>
        </w:rPr>
        <w:t>本年支出合计的54.29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 xml:space="preserve">9年相比，一般公共预算财政拨款增加960.94万元，增长22.80 </w:t>
      </w:r>
      <w:r>
        <w:rPr>
          <w:rFonts w:ascii="仿宋" w:eastAsia="仿宋" w:hAnsi="仿宋"/>
          <w:color w:val="000000"/>
          <w:sz w:val="32"/>
          <w:szCs w:val="32"/>
        </w:rPr>
        <w:t>%</w:t>
      </w:r>
      <w:r>
        <w:rPr>
          <w:rFonts w:ascii="仿宋" w:eastAsia="仿宋" w:hAnsi="仿宋" w:hint="eastAsia"/>
          <w:color w:val="000000"/>
          <w:sz w:val="32"/>
          <w:szCs w:val="32"/>
        </w:rPr>
        <w:t>。主要变动原因是增加节能环保项目经费及经营项目经费。</w:t>
      </w:r>
    </w:p>
    <w:p w14:paraId="71752C64" w14:textId="77777777" w:rsidR="00DC57D8" w:rsidRDefault="00000000">
      <w:pPr>
        <w:spacing w:line="600" w:lineRule="exac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图5：一般公共预算财政拨款支出决算变动情况</w:t>
      </w:r>
    </w:p>
    <w:p w14:paraId="3734FE4D" w14:textId="77777777" w:rsidR="00DC57D8" w:rsidRDefault="00DC57D8">
      <w:pPr>
        <w:pStyle w:val="a0"/>
        <w:spacing w:before="93"/>
      </w:pPr>
    </w:p>
    <w:p w14:paraId="070CA120" w14:textId="77777777" w:rsidR="00DC57D8" w:rsidRDefault="00000000">
      <w:pPr>
        <w:pStyle w:val="a0"/>
        <w:spacing w:before="93"/>
        <w:rPr>
          <w:rFonts w:ascii="仿宋" w:eastAsia="仿宋" w:hAnsi="仿宋"/>
          <w:color w:val="FF0000"/>
          <w:sz w:val="32"/>
          <w:szCs w:val="32"/>
        </w:rPr>
      </w:pPr>
      <w:r>
        <w:rPr>
          <w:noProof/>
        </w:rPr>
        <w:drawing>
          <wp:inline distT="0" distB="0" distL="114300" distR="114300" wp14:anchorId="2CC8AF3A" wp14:editId="29F7166B">
            <wp:extent cx="4572000" cy="2743200"/>
            <wp:effectExtent l="4445" t="4445" r="10795" b="10795"/>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8DF13D" w14:textId="77777777" w:rsidR="00DC57D8" w:rsidRDefault="00DC57D8">
      <w:pPr>
        <w:spacing w:line="600" w:lineRule="exact"/>
        <w:ind w:firstLineChars="200" w:firstLine="640"/>
        <w:rPr>
          <w:rFonts w:ascii="仿宋" w:eastAsia="仿宋" w:hAnsi="仿宋"/>
          <w:color w:val="000000" w:themeColor="text1"/>
          <w:sz w:val="32"/>
          <w:szCs w:val="32"/>
        </w:rPr>
      </w:pPr>
    </w:p>
    <w:p w14:paraId="026C75E0" w14:textId="77777777" w:rsidR="00DC57D8" w:rsidRDefault="00000000">
      <w:pPr>
        <w:spacing w:line="600" w:lineRule="exact"/>
        <w:ind w:firstLineChars="200" w:firstLine="643"/>
        <w:outlineLvl w:val="2"/>
        <w:rPr>
          <w:rFonts w:ascii="仿宋" w:eastAsia="仿宋" w:hAnsi="仿宋"/>
          <w:b/>
          <w:color w:val="000000"/>
          <w:sz w:val="32"/>
          <w:szCs w:val="32"/>
        </w:rPr>
      </w:pPr>
      <w:bookmarkStart w:id="48" w:name="_Toc15377211"/>
      <w:bookmarkStart w:id="49" w:name="_Toc119075183"/>
      <w:r>
        <w:rPr>
          <w:rFonts w:ascii="仿宋" w:eastAsia="仿宋" w:hAnsi="仿宋" w:hint="eastAsia"/>
          <w:b/>
          <w:color w:val="000000"/>
          <w:sz w:val="32"/>
          <w:szCs w:val="32"/>
        </w:rPr>
        <w:t>（二）一般公共预算财政拨款支出决算结构情况</w:t>
      </w:r>
      <w:bookmarkEnd w:id="48"/>
      <w:bookmarkEnd w:id="49"/>
    </w:p>
    <w:p w14:paraId="15F2B525" w14:textId="77777777" w:rsidR="00DC57D8" w:rsidRDefault="00000000">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w:t>
      </w:r>
      <w:r>
        <w:rPr>
          <w:rFonts w:ascii="仿宋" w:eastAsia="仿宋" w:hAnsi="仿宋" w:hint="eastAsia"/>
          <w:color w:val="000000" w:themeColor="text1"/>
          <w:sz w:val="32"/>
          <w:szCs w:val="32"/>
        </w:rPr>
        <w:t>政拨款支出5174.70万元，主要用于以下方面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支出24.27万元，占0.47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支出489.65万元，占9.46</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Pr>
          <w:rFonts w:ascii="仿宋" w:eastAsia="仿宋" w:hAnsi="仿宋" w:hint="eastAsia"/>
          <w:color w:val="000000" w:themeColor="text1"/>
          <w:sz w:val="32"/>
          <w:szCs w:val="32"/>
        </w:rPr>
        <w:t>155.77万元，占3.01</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；住房保障支出304.00万元，占5.87</w:t>
      </w:r>
      <w:r>
        <w:rPr>
          <w:rFonts w:ascii="仿宋" w:eastAsia="仿宋" w:hAnsi="仿宋"/>
          <w:color w:val="000000" w:themeColor="text1"/>
          <w:sz w:val="32"/>
          <w:szCs w:val="32"/>
        </w:rPr>
        <w:t>%</w:t>
      </w:r>
      <w:r>
        <w:rPr>
          <w:rFonts w:ascii="仿宋" w:eastAsia="仿宋" w:hAnsi="仿宋" w:hint="eastAsia"/>
          <w:color w:val="000000" w:themeColor="text1"/>
          <w:sz w:val="32"/>
          <w:szCs w:val="32"/>
        </w:rPr>
        <w:t>；资源勘探工业信息等支出2037.32万元，占39.37%；</w:t>
      </w:r>
      <w:r>
        <w:rPr>
          <w:rFonts w:ascii="仿宋" w:eastAsia="仿宋" w:hAnsi="仿宋" w:hint="eastAsia"/>
          <w:color w:val="000000" w:themeColor="text1"/>
          <w:sz w:val="32"/>
          <w:szCs w:val="32"/>
        </w:rPr>
        <w:lastRenderedPageBreak/>
        <w:t>节能环保支出2163.69万元，占41.82%。</w:t>
      </w:r>
    </w:p>
    <w:p w14:paraId="1B1C0AB6" w14:textId="77777777" w:rsidR="00DC57D8" w:rsidRDefault="00000000">
      <w:pPr>
        <w:spacing w:line="600" w:lineRule="exact"/>
        <w:ind w:firstLineChars="300" w:firstLine="964"/>
        <w:rPr>
          <w:rFonts w:eastAsia="仿宋"/>
        </w:rPr>
      </w:pPr>
      <w:r>
        <w:rPr>
          <w:rFonts w:ascii="仿宋" w:eastAsia="仿宋" w:hAnsi="仿宋" w:hint="eastAsia"/>
          <w:b/>
          <w:bCs/>
          <w:color w:val="000000" w:themeColor="text1"/>
          <w:sz w:val="32"/>
          <w:szCs w:val="32"/>
        </w:rPr>
        <w:t>图6：一般公共预算财政拨款支出决算结构</w:t>
      </w:r>
    </w:p>
    <w:p w14:paraId="1DD3B06D" w14:textId="77777777" w:rsidR="00DC57D8" w:rsidRDefault="00000000">
      <w:pPr>
        <w:pStyle w:val="a0"/>
        <w:spacing w:before="93"/>
        <w:rPr>
          <w:rFonts w:ascii="仿宋" w:eastAsia="仿宋" w:hAnsi="仿宋"/>
          <w:color w:val="000000"/>
          <w:sz w:val="32"/>
          <w:szCs w:val="32"/>
        </w:rPr>
      </w:pPr>
      <w:r>
        <w:rPr>
          <w:noProof/>
        </w:rPr>
        <w:drawing>
          <wp:inline distT="0" distB="0" distL="114300" distR="114300" wp14:anchorId="0723DDC1" wp14:editId="05FEECE7">
            <wp:extent cx="5639435" cy="3047365"/>
            <wp:effectExtent l="4445" t="4445" r="10160" b="11430"/>
            <wp:docPr id="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2403F0" w14:textId="77777777" w:rsidR="00DC57D8" w:rsidRDefault="00000000">
      <w:pPr>
        <w:spacing w:line="600" w:lineRule="exact"/>
        <w:ind w:firstLineChars="200" w:firstLine="643"/>
        <w:outlineLvl w:val="2"/>
        <w:rPr>
          <w:rFonts w:ascii="仿宋" w:eastAsia="仿宋" w:hAnsi="仿宋"/>
          <w:b/>
          <w:color w:val="000000"/>
          <w:sz w:val="32"/>
          <w:szCs w:val="32"/>
        </w:rPr>
      </w:pPr>
      <w:bookmarkStart w:id="50" w:name="_Toc15377212"/>
      <w:bookmarkStart w:id="51" w:name="_Toc119075184"/>
      <w:r>
        <w:rPr>
          <w:rFonts w:ascii="仿宋" w:eastAsia="仿宋" w:hAnsi="仿宋" w:hint="eastAsia"/>
          <w:b/>
          <w:color w:val="000000"/>
          <w:sz w:val="32"/>
          <w:szCs w:val="32"/>
        </w:rPr>
        <w:t>（三）一般公共预算财政拨款支出决算具体情况</w:t>
      </w:r>
      <w:bookmarkEnd w:id="50"/>
      <w:bookmarkEnd w:id="51"/>
    </w:p>
    <w:p w14:paraId="49B7ECD2" w14:textId="77777777" w:rsidR="00DC57D8" w:rsidRDefault="00000000">
      <w:pPr>
        <w:spacing w:line="600" w:lineRule="exact"/>
        <w:ind w:firstLineChars="200" w:firstLine="643"/>
        <w:outlineLvl w:val="2"/>
        <w:rPr>
          <w:rFonts w:ascii="仿宋" w:eastAsia="仿宋" w:hAnsi="仿宋"/>
          <w:color w:val="FF0000"/>
          <w:sz w:val="32"/>
          <w:szCs w:val="32"/>
        </w:rPr>
      </w:pPr>
      <w:bookmarkStart w:id="52" w:name="_Toc15378460"/>
      <w:bookmarkStart w:id="53" w:name="_Toc15377444"/>
      <w:bookmarkStart w:id="54" w:name="_Toc15377213"/>
      <w:bookmarkStart w:id="55" w:name="_Toc119070460"/>
      <w:bookmarkStart w:id="56" w:name="_Toc119075185"/>
      <w:r>
        <w:rPr>
          <w:rFonts w:ascii="仿宋" w:eastAsia="仿宋" w:hAnsi="仿宋" w:hint="eastAsia"/>
          <w:b/>
          <w:color w:val="000000" w:themeColor="text1"/>
          <w:sz w:val="32"/>
          <w:szCs w:val="32"/>
        </w:rPr>
        <w:t>2020年一般公共预算支出决算数为5174.70万元</w:t>
      </w:r>
      <w:r>
        <w:rPr>
          <w:rFonts w:ascii="仿宋" w:eastAsia="仿宋" w:hAnsi="仿宋" w:hint="eastAsia"/>
          <w:color w:val="000000" w:themeColor="text1"/>
          <w:sz w:val="32"/>
          <w:szCs w:val="32"/>
        </w:rPr>
        <w:t>，</w:t>
      </w:r>
      <w:r>
        <w:rPr>
          <w:rStyle w:val="ac"/>
          <w:rFonts w:ascii="仿宋" w:eastAsia="仿宋" w:hAnsi="仿宋" w:hint="eastAsia"/>
          <w:bCs/>
          <w:color w:val="000000" w:themeColor="text1"/>
          <w:sz w:val="32"/>
          <w:szCs w:val="32"/>
        </w:rPr>
        <w:t>完成</w:t>
      </w:r>
      <w:r>
        <w:rPr>
          <w:rStyle w:val="ac"/>
          <w:rFonts w:ascii="仿宋" w:eastAsia="仿宋" w:hAnsi="仿宋" w:hint="eastAsia"/>
          <w:bCs/>
          <w:color w:val="000000"/>
          <w:sz w:val="32"/>
          <w:szCs w:val="32"/>
        </w:rPr>
        <w:t>预算100</w:t>
      </w:r>
      <w:r>
        <w:rPr>
          <w:rStyle w:val="ac"/>
          <w:rFonts w:ascii="仿宋" w:eastAsia="仿宋" w:hAnsi="仿宋"/>
          <w:bCs/>
          <w:color w:val="000000"/>
          <w:sz w:val="32"/>
          <w:szCs w:val="32"/>
        </w:rPr>
        <w:t>%</w:t>
      </w:r>
      <w:r>
        <w:rPr>
          <w:rStyle w:val="ac"/>
          <w:rFonts w:ascii="仿宋" w:eastAsia="仿宋" w:hAnsi="仿宋" w:hint="eastAsia"/>
          <w:bCs/>
          <w:color w:val="000000"/>
          <w:sz w:val="32"/>
          <w:szCs w:val="32"/>
        </w:rPr>
        <w:t>。其中：</w:t>
      </w:r>
      <w:bookmarkEnd w:id="52"/>
      <w:bookmarkEnd w:id="53"/>
      <w:bookmarkEnd w:id="54"/>
      <w:bookmarkEnd w:id="55"/>
      <w:bookmarkEnd w:id="56"/>
    </w:p>
    <w:p w14:paraId="30051DF0" w14:textId="77777777" w:rsidR="00DC57D8" w:rsidRDefault="00000000">
      <w:pPr>
        <w:numPr>
          <w:ilvl w:val="0"/>
          <w:numId w:val="3"/>
        </w:num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hint="eastAsia"/>
          <w:bCs/>
          <w:color w:val="000000"/>
          <w:sz w:val="32"/>
          <w:szCs w:val="32"/>
        </w:rPr>
        <w:t>科学技术（类）技术研究与开发（款）其他技术研究与开发支出（项）</w:t>
      </w:r>
      <w:r>
        <w:rPr>
          <w:rStyle w:val="ac"/>
          <w:rFonts w:ascii="仿宋" w:eastAsia="仿宋" w:hAnsi="仿宋"/>
          <w:bCs/>
          <w:color w:val="000000"/>
          <w:sz w:val="32"/>
          <w:szCs w:val="32"/>
        </w:rPr>
        <w:t>:</w:t>
      </w:r>
      <w:r>
        <w:rPr>
          <w:rStyle w:val="ac"/>
          <w:rFonts w:ascii="仿宋" w:eastAsia="仿宋" w:hAnsi="仿宋"/>
          <w:b w:val="0"/>
          <w:bCs/>
          <w:color w:val="000000"/>
          <w:sz w:val="32"/>
          <w:szCs w:val="32"/>
        </w:rPr>
        <w:t xml:space="preserve"> </w:t>
      </w:r>
      <w:r>
        <w:rPr>
          <w:rStyle w:val="ac"/>
          <w:rFonts w:ascii="仿宋" w:eastAsia="仿宋" w:hAnsi="仿宋" w:hint="eastAsia"/>
          <w:b w:val="0"/>
          <w:bCs/>
          <w:color w:val="000000"/>
          <w:sz w:val="32"/>
          <w:szCs w:val="32"/>
        </w:rPr>
        <w:t>支出决算为14.27万元，完成预算100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4F5A5E5F" w14:textId="77777777" w:rsidR="00DC57D8" w:rsidRDefault="00000000">
      <w:pPr>
        <w:numPr>
          <w:ilvl w:val="0"/>
          <w:numId w:val="3"/>
        </w:numPr>
        <w:spacing w:line="600" w:lineRule="exact"/>
        <w:ind w:firstLineChars="200" w:firstLine="643"/>
        <w:rPr>
          <w:rStyle w:val="ac"/>
          <w:rFonts w:ascii="仿宋" w:eastAsia="仿宋" w:hAnsi="仿宋"/>
          <w:b w:val="0"/>
          <w:bCs/>
          <w:color w:val="000000"/>
          <w:sz w:val="32"/>
          <w:szCs w:val="32"/>
        </w:rPr>
      </w:pPr>
      <w:r>
        <w:rPr>
          <w:rStyle w:val="ac"/>
          <w:rFonts w:ascii="仿宋" w:eastAsia="仿宋" w:hAnsi="仿宋" w:hint="eastAsia"/>
          <w:bCs/>
          <w:color w:val="000000"/>
          <w:sz w:val="32"/>
          <w:szCs w:val="32"/>
        </w:rPr>
        <w:t>科学技术（类）其他科学技术支出（款）其他科学技术支出（项）</w:t>
      </w:r>
      <w:r>
        <w:rPr>
          <w:rStyle w:val="ac"/>
          <w:rFonts w:ascii="仿宋" w:eastAsia="仿宋" w:hAnsi="仿宋"/>
          <w:bCs/>
          <w:color w:val="000000"/>
          <w:sz w:val="32"/>
          <w:szCs w:val="32"/>
        </w:rPr>
        <w:t>:</w:t>
      </w:r>
      <w:r>
        <w:rPr>
          <w:rStyle w:val="ac"/>
          <w:rFonts w:ascii="仿宋" w:eastAsia="仿宋" w:hAnsi="仿宋"/>
          <w:b w:val="0"/>
          <w:bCs/>
          <w:color w:val="000000"/>
          <w:sz w:val="32"/>
          <w:szCs w:val="32"/>
        </w:rPr>
        <w:t xml:space="preserve"> </w:t>
      </w:r>
      <w:r>
        <w:rPr>
          <w:rStyle w:val="ac"/>
          <w:rFonts w:ascii="仿宋" w:eastAsia="仿宋" w:hAnsi="仿宋" w:hint="eastAsia"/>
          <w:b w:val="0"/>
          <w:bCs/>
          <w:color w:val="000000"/>
          <w:sz w:val="32"/>
          <w:szCs w:val="32"/>
        </w:rPr>
        <w:t>支出决算为10.00万元，完成预算100</w:t>
      </w:r>
      <w:r>
        <w:rPr>
          <w:rStyle w:val="ac"/>
          <w:rFonts w:ascii="仿宋" w:eastAsia="仿宋" w:hAnsi="仿宋"/>
          <w:b w:val="0"/>
          <w:bCs/>
          <w:color w:val="000000"/>
          <w:sz w:val="32"/>
          <w:szCs w:val="32"/>
        </w:rPr>
        <w:t>%</w:t>
      </w:r>
      <w:r>
        <w:rPr>
          <w:rStyle w:val="ac"/>
          <w:rFonts w:ascii="仿宋" w:eastAsia="仿宋" w:hAnsi="仿宋" w:hint="eastAsia"/>
          <w:b w:val="0"/>
          <w:bCs/>
          <w:color w:val="000000"/>
          <w:sz w:val="32"/>
          <w:szCs w:val="32"/>
        </w:rPr>
        <w:t>。</w:t>
      </w:r>
    </w:p>
    <w:p w14:paraId="58E348B6"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3</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社会保障和就业（类）行政事业单位养老支出（款）事业单位离退休（项）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支出决算为112.11万元，完成预算100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22696508"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4</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社会保障和就业（类）行政事业单位养老支出（款）机关事业单位基本养老保险缴费支出（项）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w:t>
      </w:r>
      <w:r>
        <w:rPr>
          <w:rStyle w:val="ac"/>
          <w:rFonts w:ascii="仿宋" w:eastAsia="仿宋" w:hAnsi="仿宋" w:hint="eastAsia"/>
          <w:b w:val="0"/>
          <w:bCs/>
          <w:color w:val="000000" w:themeColor="text1"/>
          <w:sz w:val="32"/>
          <w:szCs w:val="32"/>
        </w:rPr>
        <w:lastRenderedPageBreak/>
        <w:t>245.00万元，完成预算100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4055A17F"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5</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社会保障和就业（类）行政事业单位养老支出（款）机关事业单位职业年级缴费支出（项）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支出决算为122.50万元，完成预算100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30216AD1"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6</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社会保障和就业（类）其他社会保障和就业支出（款）其他社会保障和就业支出（项）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支出决算为10.04万元，完成预算100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0D0B9A10"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7</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卫生健康（类）行政事业单位医疗（款）事业单位医疗（项）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支出决算为155.77万元，完成预算100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11220BE4"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8</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节能环保（类）污染防治（款）其他污染防治支出（项）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支出决算为2163.69万元，完成预算100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622EE685"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9</w:t>
      </w:r>
      <w:r>
        <w:rPr>
          <w:rStyle w:val="ac"/>
          <w:rFonts w:ascii="仿宋" w:eastAsia="仿宋" w:hAnsi="仿宋"/>
          <w:bCs/>
          <w:color w:val="000000" w:themeColor="text1"/>
          <w:sz w:val="32"/>
          <w:szCs w:val="32"/>
        </w:rPr>
        <w:t>.</w:t>
      </w:r>
      <w:r>
        <w:rPr>
          <w:rStyle w:val="ac"/>
          <w:rFonts w:ascii="仿宋" w:eastAsia="仿宋" w:hAnsi="仿宋" w:hint="eastAsia"/>
          <w:bCs/>
          <w:color w:val="000000" w:themeColor="text1"/>
          <w:sz w:val="32"/>
          <w:szCs w:val="32"/>
        </w:rPr>
        <w:t>资源勘探工业信息等（类）资源勘探开发（款）其他资源勘探业务支出（项）</w:t>
      </w:r>
      <w:r>
        <w:rPr>
          <w:rStyle w:val="ac"/>
          <w:rFonts w:ascii="仿宋" w:eastAsia="仿宋" w:hAnsi="仿宋"/>
          <w:bCs/>
          <w:color w:val="000000" w:themeColor="text1"/>
          <w:sz w:val="32"/>
          <w:szCs w:val="32"/>
        </w:rPr>
        <w:t>:</w:t>
      </w:r>
      <w:r>
        <w:rPr>
          <w:rStyle w:val="ac"/>
          <w:rFonts w:ascii="仿宋" w:eastAsia="仿宋" w:hAnsi="仿宋"/>
          <w:b w:val="0"/>
          <w:bCs/>
          <w:color w:val="000000" w:themeColor="text1"/>
          <w:sz w:val="32"/>
          <w:szCs w:val="32"/>
        </w:rPr>
        <w:t xml:space="preserve"> </w:t>
      </w:r>
      <w:r>
        <w:rPr>
          <w:rStyle w:val="ac"/>
          <w:rFonts w:ascii="仿宋" w:eastAsia="仿宋" w:hAnsi="仿宋" w:hint="eastAsia"/>
          <w:b w:val="0"/>
          <w:bCs/>
          <w:color w:val="000000" w:themeColor="text1"/>
          <w:sz w:val="32"/>
          <w:szCs w:val="32"/>
        </w:rPr>
        <w:t>支出决算为2037.32万元，完成预算100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3C4E5B1A" w14:textId="77777777" w:rsidR="00DC57D8" w:rsidRDefault="00000000">
      <w:pPr>
        <w:spacing w:line="600" w:lineRule="exact"/>
        <w:ind w:firstLineChars="200" w:firstLine="643"/>
        <w:rPr>
          <w:rStyle w:val="ac"/>
          <w:rFonts w:ascii="仿宋" w:eastAsia="仿宋" w:hAnsi="仿宋"/>
          <w:b w:val="0"/>
          <w:bCs/>
          <w:color w:val="000000" w:themeColor="text1"/>
          <w:sz w:val="32"/>
          <w:szCs w:val="32"/>
        </w:rPr>
      </w:pPr>
      <w:r>
        <w:rPr>
          <w:rStyle w:val="ac"/>
          <w:rFonts w:ascii="仿宋" w:eastAsia="仿宋" w:hAnsi="仿宋" w:hint="eastAsia"/>
          <w:bCs/>
          <w:color w:val="000000" w:themeColor="text1"/>
          <w:sz w:val="32"/>
          <w:szCs w:val="32"/>
        </w:rPr>
        <w:t>10</w:t>
      </w:r>
      <w:r>
        <w:rPr>
          <w:rStyle w:val="ac"/>
          <w:rFonts w:ascii="仿宋" w:eastAsia="仿宋" w:hAnsi="仿宋"/>
          <w:bCs/>
          <w:color w:val="000000" w:themeColor="text1"/>
          <w:sz w:val="32"/>
          <w:szCs w:val="32"/>
        </w:rPr>
        <w:t>.</w:t>
      </w:r>
      <w:r>
        <w:rPr>
          <w:rFonts w:ascii="仿宋" w:eastAsia="仿宋" w:hAnsi="仿宋" w:hint="eastAsia"/>
          <w:b/>
          <w:bCs/>
          <w:color w:val="000000" w:themeColor="text1"/>
          <w:sz w:val="32"/>
          <w:szCs w:val="32"/>
        </w:rPr>
        <w:t>住房保障</w:t>
      </w:r>
      <w:r>
        <w:rPr>
          <w:rStyle w:val="ac"/>
          <w:rFonts w:ascii="仿宋" w:eastAsia="仿宋" w:hAnsi="仿宋" w:hint="eastAsia"/>
          <w:bCs/>
          <w:color w:val="000000" w:themeColor="text1"/>
          <w:sz w:val="32"/>
          <w:szCs w:val="32"/>
        </w:rPr>
        <w:t>（类）住房改革支出（款）住房公积金（项）</w:t>
      </w:r>
      <w:r>
        <w:rPr>
          <w:rStyle w:val="ac"/>
          <w:rFonts w:ascii="仿宋" w:eastAsia="仿宋" w:hAnsi="仿宋"/>
          <w:bCs/>
          <w:color w:val="000000" w:themeColor="text1"/>
          <w:sz w:val="32"/>
          <w:szCs w:val="32"/>
        </w:rPr>
        <w:t>:</w:t>
      </w:r>
      <w:r>
        <w:rPr>
          <w:rStyle w:val="ac"/>
          <w:rFonts w:ascii="仿宋" w:eastAsia="仿宋" w:hAnsi="仿宋" w:hint="eastAsia"/>
          <w:b w:val="0"/>
          <w:bCs/>
          <w:color w:val="000000" w:themeColor="text1"/>
          <w:sz w:val="32"/>
          <w:szCs w:val="32"/>
        </w:rPr>
        <w:t>支出决算为224.75万元，完成预算100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2509C5AB" w14:textId="77777777" w:rsidR="00DC57D8" w:rsidRDefault="00000000">
      <w:pPr>
        <w:spacing w:line="600" w:lineRule="exact"/>
        <w:ind w:firstLineChars="200" w:firstLine="643"/>
        <w:rPr>
          <w:rFonts w:ascii="仿宋" w:eastAsia="仿宋" w:hAnsi="仿宋"/>
          <w:b/>
          <w:color w:val="000000" w:themeColor="text1"/>
          <w:sz w:val="32"/>
          <w:szCs w:val="32"/>
        </w:rPr>
      </w:pPr>
      <w:r>
        <w:rPr>
          <w:rStyle w:val="ac"/>
          <w:rFonts w:ascii="仿宋" w:eastAsia="仿宋" w:hAnsi="仿宋" w:hint="eastAsia"/>
          <w:bCs/>
          <w:color w:val="000000" w:themeColor="text1"/>
          <w:sz w:val="32"/>
          <w:szCs w:val="32"/>
        </w:rPr>
        <w:t>11</w:t>
      </w:r>
      <w:r>
        <w:rPr>
          <w:rStyle w:val="ac"/>
          <w:rFonts w:ascii="仿宋" w:eastAsia="仿宋" w:hAnsi="仿宋"/>
          <w:bCs/>
          <w:color w:val="000000" w:themeColor="text1"/>
          <w:sz w:val="32"/>
          <w:szCs w:val="32"/>
        </w:rPr>
        <w:t>.</w:t>
      </w:r>
      <w:r>
        <w:rPr>
          <w:rFonts w:ascii="仿宋" w:eastAsia="仿宋" w:hAnsi="仿宋" w:hint="eastAsia"/>
          <w:b/>
          <w:bCs/>
          <w:color w:val="000000" w:themeColor="text1"/>
          <w:sz w:val="32"/>
          <w:szCs w:val="32"/>
        </w:rPr>
        <w:t>住房保障</w:t>
      </w:r>
      <w:r>
        <w:rPr>
          <w:rStyle w:val="ac"/>
          <w:rFonts w:ascii="仿宋" w:eastAsia="仿宋" w:hAnsi="仿宋" w:hint="eastAsia"/>
          <w:bCs/>
          <w:color w:val="000000" w:themeColor="text1"/>
          <w:sz w:val="32"/>
          <w:szCs w:val="32"/>
        </w:rPr>
        <w:t>（类）住房改革支出（款）购房补贴（项）</w:t>
      </w:r>
      <w:r>
        <w:rPr>
          <w:rStyle w:val="ac"/>
          <w:rFonts w:ascii="仿宋" w:eastAsia="仿宋" w:hAnsi="仿宋"/>
          <w:bCs/>
          <w:color w:val="000000" w:themeColor="text1"/>
          <w:sz w:val="32"/>
          <w:szCs w:val="32"/>
        </w:rPr>
        <w:t>:</w:t>
      </w:r>
      <w:r>
        <w:rPr>
          <w:rStyle w:val="ac"/>
          <w:rFonts w:ascii="仿宋" w:eastAsia="仿宋" w:hAnsi="仿宋" w:hint="eastAsia"/>
          <w:b w:val="0"/>
          <w:bCs/>
          <w:color w:val="000000" w:themeColor="text1"/>
          <w:sz w:val="32"/>
          <w:szCs w:val="32"/>
        </w:rPr>
        <w:t>支出决算为79.25万元，完成预算100</w:t>
      </w:r>
      <w:r>
        <w:rPr>
          <w:rStyle w:val="ac"/>
          <w:rFonts w:ascii="仿宋" w:eastAsia="仿宋" w:hAnsi="仿宋"/>
          <w:b w:val="0"/>
          <w:bCs/>
          <w:color w:val="000000" w:themeColor="text1"/>
          <w:sz w:val="32"/>
          <w:szCs w:val="32"/>
        </w:rPr>
        <w:t>%</w:t>
      </w:r>
      <w:r>
        <w:rPr>
          <w:rStyle w:val="ac"/>
          <w:rFonts w:ascii="仿宋" w:eastAsia="仿宋" w:hAnsi="仿宋" w:hint="eastAsia"/>
          <w:b w:val="0"/>
          <w:bCs/>
          <w:color w:val="000000" w:themeColor="text1"/>
          <w:sz w:val="32"/>
          <w:szCs w:val="32"/>
        </w:rPr>
        <w:t>。</w:t>
      </w:r>
    </w:p>
    <w:p w14:paraId="02F10711" w14:textId="77777777" w:rsidR="00DC57D8" w:rsidRDefault="00000000">
      <w:pPr>
        <w:tabs>
          <w:tab w:val="right" w:pos="8306"/>
        </w:tabs>
        <w:spacing w:line="600" w:lineRule="exact"/>
        <w:ind w:firstLine="640"/>
        <w:outlineLvl w:val="1"/>
        <w:rPr>
          <w:rStyle w:val="20"/>
        </w:rPr>
      </w:pPr>
      <w:bookmarkStart w:id="57" w:name="_Toc15377214"/>
      <w:bookmarkStart w:id="58" w:name="_Toc15396608"/>
      <w:bookmarkStart w:id="59" w:name="_Toc119075186"/>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57"/>
      <w:bookmarkEnd w:id="58"/>
      <w:bookmarkEnd w:id="59"/>
      <w:r>
        <w:rPr>
          <w:rStyle w:val="20"/>
          <w:rFonts w:ascii="黑体" w:eastAsia="黑体" w:hAnsi="黑体"/>
          <w:b w:val="0"/>
        </w:rPr>
        <w:tab/>
      </w:r>
    </w:p>
    <w:p w14:paraId="73A8D7C3" w14:textId="77777777" w:rsidR="00DC57D8" w:rsidRDefault="00000000">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20年一般公共预算财政拨款基本支出2984.74万元，其中：</w:t>
      </w:r>
    </w:p>
    <w:p w14:paraId="2F6A43B6" w14:textId="77777777" w:rsidR="00DC57D8" w:rsidRDefault="00000000">
      <w:pPr>
        <w:spacing w:line="600" w:lineRule="exact"/>
        <w:ind w:firstLine="645"/>
        <w:rPr>
          <w:rFonts w:ascii="仿宋" w:eastAsia="仿宋" w:hAnsi="仿宋"/>
          <w:b/>
          <w:color w:val="FF0000"/>
          <w:sz w:val="32"/>
          <w:szCs w:val="32"/>
        </w:rPr>
      </w:pPr>
      <w:r>
        <w:rPr>
          <w:rFonts w:ascii="仿宋" w:eastAsia="仿宋" w:hAnsi="仿宋" w:hint="eastAsia"/>
          <w:color w:val="000000"/>
          <w:sz w:val="32"/>
          <w:szCs w:val="32"/>
        </w:rPr>
        <w:t>人员经费2742.33万元，主要包括：基本工资、津贴补贴、奖金、伙食补助费、绩效工资、机关事业单位基本养老</w:t>
      </w:r>
      <w:r>
        <w:rPr>
          <w:rFonts w:ascii="仿宋" w:eastAsia="仿宋" w:hAnsi="仿宋" w:hint="eastAsia"/>
          <w:color w:val="000000"/>
          <w:sz w:val="32"/>
          <w:szCs w:val="32"/>
        </w:rPr>
        <w:lastRenderedPageBreak/>
        <w:t>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w:t>
      </w:r>
      <w:r>
        <w:rPr>
          <w:rFonts w:ascii="仿宋" w:eastAsia="仿宋" w:hAnsi="仿宋" w:hint="eastAsia"/>
          <w:color w:val="000000" w:themeColor="text1"/>
          <w:sz w:val="32"/>
          <w:szCs w:val="32"/>
        </w:rPr>
        <w:t>公用经费242.</w:t>
      </w:r>
      <w:r>
        <w:rPr>
          <w:rFonts w:ascii="仿宋" w:eastAsia="仿宋" w:hAnsi="仿宋" w:hint="eastAsia"/>
          <w:color w:val="000000"/>
          <w:sz w:val="32"/>
          <w:szCs w:val="32"/>
        </w:rPr>
        <w:t>41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1AB46EDE" w14:textId="77777777" w:rsidR="00DC57D8" w:rsidRDefault="00000000">
      <w:pPr>
        <w:spacing w:line="600" w:lineRule="exact"/>
        <w:ind w:firstLine="640"/>
        <w:outlineLvl w:val="1"/>
        <w:rPr>
          <w:rStyle w:val="20"/>
          <w:rFonts w:ascii="黑体" w:eastAsia="黑体" w:hAnsi="黑体"/>
          <w:b w:val="0"/>
        </w:rPr>
      </w:pPr>
      <w:bookmarkStart w:id="60" w:name="_Toc15396609"/>
      <w:bookmarkStart w:id="61" w:name="_Toc15377215"/>
      <w:bookmarkStart w:id="62" w:name="_Toc119075187"/>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60"/>
      <w:bookmarkEnd w:id="61"/>
      <w:bookmarkEnd w:id="62"/>
    </w:p>
    <w:p w14:paraId="0D6F280D" w14:textId="378E5A2F" w:rsidR="00DC57D8" w:rsidRPr="00C97A1C" w:rsidRDefault="0038513A" w:rsidP="00C97A1C">
      <w:pPr>
        <w:spacing w:line="600" w:lineRule="exact"/>
        <w:ind w:firstLine="640"/>
        <w:rPr>
          <w:rFonts w:ascii="仿宋_GB2312" w:eastAsia="仿宋_GB2312"/>
          <w:color w:val="000000"/>
          <w:sz w:val="32"/>
          <w:szCs w:val="32"/>
        </w:rPr>
      </w:pPr>
      <w:bookmarkStart w:id="63" w:name="_Toc15396610"/>
      <w:bookmarkStart w:id="64" w:name="_Toc15377218"/>
      <w:r w:rsidRPr="0038513A">
        <w:rPr>
          <w:rFonts w:ascii="仿宋_GB2312" w:eastAsia="仿宋_GB2312" w:hint="eastAsia"/>
          <w:color w:val="000000"/>
          <w:sz w:val="32"/>
          <w:szCs w:val="32"/>
        </w:rPr>
        <w:t>本单位为事业单位，无三公经费。</w:t>
      </w:r>
      <w:r w:rsidR="007F7BD0" w:rsidRPr="007F7BD0">
        <w:rPr>
          <w:rFonts w:ascii="仿宋_GB2312" w:eastAsia="仿宋_GB2312" w:hint="eastAsia"/>
          <w:color w:val="000000"/>
          <w:sz w:val="32"/>
          <w:szCs w:val="32"/>
        </w:rPr>
        <w:t>2019年三</w:t>
      </w:r>
      <w:proofErr w:type="gramStart"/>
      <w:r w:rsidR="007F7BD0" w:rsidRPr="007F7BD0">
        <w:rPr>
          <w:rFonts w:ascii="仿宋_GB2312" w:eastAsia="仿宋_GB2312" w:hint="eastAsia"/>
          <w:color w:val="000000"/>
          <w:sz w:val="32"/>
          <w:szCs w:val="32"/>
        </w:rPr>
        <w:t>公经费</w:t>
      </w:r>
      <w:proofErr w:type="gramEnd"/>
      <w:r w:rsidR="007F7BD0" w:rsidRPr="007F7BD0">
        <w:rPr>
          <w:rFonts w:ascii="仿宋_GB2312" w:eastAsia="仿宋_GB2312" w:hint="eastAsia"/>
          <w:color w:val="000000"/>
          <w:sz w:val="32"/>
          <w:szCs w:val="32"/>
        </w:rPr>
        <w:t>为0，2020年三</w:t>
      </w:r>
      <w:proofErr w:type="gramStart"/>
      <w:r w:rsidR="007F7BD0" w:rsidRPr="007F7BD0">
        <w:rPr>
          <w:rFonts w:ascii="仿宋_GB2312" w:eastAsia="仿宋_GB2312" w:hint="eastAsia"/>
          <w:color w:val="000000"/>
          <w:sz w:val="32"/>
          <w:szCs w:val="32"/>
        </w:rPr>
        <w:t>公经费</w:t>
      </w:r>
      <w:proofErr w:type="gramEnd"/>
      <w:r w:rsidR="007F7BD0" w:rsidRPr="007F7BD0">
        <w:rPr>
          <w:rFonts w:ascii="仿宋_GB2312" w:eastAsia="仿宋_GB2312" w:hint="eastAsia"/>
          <w:color w:val="000000"/>
          <w:sz w:val="32"/>
          <w:szCs w:val="32"/>
        </w:rPr>
        <w:t>为0，与上年度一致，与上年度相比无增减变化</w:t>
      </w:r>
      <w:r w:rsidR="000E3F4D" w:rsidRPr="000E3F4D">
        <w:rPr>
          <w:rFonts w:ascii="仿宋_GB2312" w:eastAsia="仿宋_GB2312" w:hint="eastAsia"/>
          <w:color w:val="000000"/>
          <w:sz w:val="32"/>
          <w:szCs w:val="32"/>
        </w:rPr>
        <w:t>。</w:t>
      </w:r>
    </w:p>
    <w:p w14:paraId="7C60207C" w14:textId="77777777" w:rsidR="00DC57D8" w:rsidRDefault="00000000">
      <w:pPr>
        <w:spacing w:line="600" w:lineRule="exact"/>
        <w:ind w:firstLine="640"/>
        <w:outlineLvl w:val="1"/>
        <w:rPr>
          <w:rStyle w:val="20"/>
          <w:rFonts w:ascii="黑体" w:eastAsia="黑体" w:hAnsi="黑体"/>
        </w:rPr>
      </w:pPr>
      <w:bookmarkStart w:id="65" w:name="_Toc119075188"/>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63"/>
      <w:bookmarkEnd w:id="64"/>
      <w:bookmarkEnd w:id="65"/>
    </w:p>
    <w:p w14:paraId="222BC801" w14:textId="6B269F74" w:rsidR="00DC57D8" w:rsidRDefault="00000000" w:rsidP="0038513A">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20年政府性基金预</w:t>
      </w:r>
      <w:r>
        <w:rPr>
          <w:rFonts w:ascii="仿宋_GB2312" w:eastAsia="仿宋_GB2312" w:hint="eastAsia"/>
          <w:color w:val="000000" w:themeColor="text1"/>
          <w:sz w:val="32"/>
          <w:szCs w:val="32"/>
        </w:rPr>
        <w:t>算财政拨</w:t>
      </w:r>
      <w:r>
        <w:rPr>
          <w:rFonts w:ascii="仿宋_GB2312" w:eastAsia="仿宋_GB2312" w:hint="eastAsia"/>
          <w:color w:val="000000"/>
          <w:sz w:val="32"/>
          <w:szCs w:val="32"/>
        </w:rPr>
        <w:t>款支出0万元。</w:t>
      </w:r>
    </w:p>
    <w:p w14:paraId="04A4855D" w14:textId="77777777" w:rsidR="00DC57D8" w:rsidRDefault="00000000">
      <w:pPr>
        <w:numPr>
          <w:ilvl w:val="0"/>
          <w:numId w:val="4"/>
        </w:numPr>
        <w:spacing w:line="600" w:lineRule="exact"/>
        <w:ind w:firstLine="640"/>
        <w:outlineLvl w:val="1"/>
        <w:rPr>
          <w:rStyle w:val="20"/>
          <w:rFonts w:ascii="黑体" w:eastAsia="黑体" w:hAnsi="黑体"/>
          <w:b w:val="0"/>
        </w:rPr>
      </w:pPr>
      <w:bookmarkStart w:id="66" w:name="_Toc15396611"/>
      <w:bookmarkStart w:id="67" w:name="_Toc15377219"/>
      <w:bookmarkStart w:id="68" w:name="_Toc119075189"/>
      <w:r>
        <w:rPr>
          <w:rStyle w:val="20"/>
          <w:rFonts w:ascii="黑体" w:eastAsia="黑体" w:hAnsi="黑体" w:hint="eastAsia"/>
          <w:b w:val="0"/>
        </w:rPr>
        <w:t>国有资本经营预算支出决算情况说明</w:t>
      </w:r>
      <w:bookmarkEnd w:id="66"/>
      <w:bookmarkEnd w:id="67"/>
      <w:bookmarkEnd w:id="68"/>
    </w:p>
    <w:p w14:paraId="4030AA8B" w14:textId="41DD589A" w:rsidR="00DC57D8" w:rsidRPr="00F52416" w:rsidRDefault="00000000" w:rsidP="00F52416">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20年国有资本经营预</w:t>
      </w:r>
      <w:r>
        <w:rPr>
          <w:rFonts w:ascii="仿宋_GB2312" w:eastAsia="仿宋_GB2312" w:hint="eastAsia"/>
          <w:color w:val="000000" w:themeColor="text1"/>
          <w:sz w:val="32"/>
          <w:szCs w:val="32"/>
        </w:rPr>
        <w:t>算财政拨款</w:t>
      </w:r>
      <w:r>
        <w:rPr>
          <w:rFonts w:ascii="仿宋_GB2312" w:eastAsia="仿宋_GB2312" w:hint="eastAsia"/>
          <w:color w:val="000000"/>
          <w:sz w:val="32"/>
          <w:szCs w:val="32"/>
        </w:rPr>
        <w:t>支出0万元。</w:t>
      </w:r>
    </w:p>
    <w:p w14:paraId="260B7655" w14:textId="77777777" w:rsidR="00DC57D8" w:rsidRDefault="00000000">
      <w:pPr>
        <w:numPr>
          <w:ilvl w:val="0"/>
          <w:numId w:val="4"/>
        </w:numPr>
        <w:spacing w:line="600" w:lineRule="exact"/>
        <w:ind w:firstLine="640"/>
        <w:outlineLvl w:val="1"/>
        <w:rPr>
          <w:rStyle w:val="20"/>
          <w:rFonts w:ascii="黑体" w:eastAsia="黑体" w:hAnsi="黑体"/>
          <w:b w:val="0"/>
        </w:rPr>
      </w:pPr>
      <w:bookmarkStart w:id="69" w:name="_Toc15396612"/>
      <w:bookmarkStart w:id="70" w:name="_Toc15377221"/>
      <w:bookmarkStart w:id="71" w:name="_Toc119075190"/>
      <w:r>
        <w:rPr>
          <w:rStyle w:val="20"/>
          <w:rFonts w:ascii="黑体" w:eastAsia="黑体" w:hAnsi="黑体" w:hint="eastAsia"/>
          <w:b w:val="0"/>
        </w:rPr>
        <w:t>其他重要事项的情况说明</w:t>
      </w:r>
      <w:bookmarkEnd w:id="69"/>
      <w:bookmarkEnd w:id="70"/>
      <w:bookmarkEnd w:id="71"/>
    </w:p>
    <w:p w14:paraId="1AEA55A7" w14:textId="639CDE37" w:rsidR="00DC57D8" w:rsidRPr="00F52416" w:rsidRDefault="00000000" w:rsidP="00F52416">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2" w:name="_Toc119075191"/>
      <w:r>
        <w:rPr>
          <w:rFonts w:ascii="仿宋" w:eastAsia="仿宋" w:hAnsi="仿宋" w:hint="eastAsia"/>
          <w:b/>
          <w:color w:val="000000"/>
          <w:sz w:val="32"/>
          <w:szCs w:val="32"/>
        </w:rPr>
        <w:t>（一）机关运行经费支出情况</w:t>
      </w:r>
      <w:bookmarkEnd w:id="72"/>
    </w:p>
    <w:p w14:paraId="2AE4AD81" w14:textId="2C7297F3" w:rsidR="00DC57D8" w:rsidRPr="002377AE" w:rsidRDefault="00000000" w:rsidP="002377AE">
      <w:pPr>
        <w:spacing w:line="600" w:lineRule="exact"/>
        <w:ind w:firstLineChars="200" w:firstLine="640"/>
        <w:rPr>
          <w:rFonts w:ascii="仿宋_GB2312" w:eastAsia="仿宋_GB2312"/>
          <w:color w:val="000000"/>
          <w:sz w:val="32"/>
          <w:szCs w:val="32"/>
        </w:rPr>
      </w:pPr>
      <w:bookmarkStart w:id="73" w:name="_Toc15377223"/>
      <w:r w:rsidRPr="002377AE">
        <w:rPr>
          <w:rFonts w:ascii="仿宋_GB2312" w:eastAsia="仿宋_GB2312" w:hint="eastAsia"/>
          <w:color w:val="000000"/>
          <w:sz w:val="32"/>
          <w:szCs w:val="32"/>
        </w:rPr>
        <w:t>本单位不涉及</w:t>
      </w:r>
      <w:r w:rsidR="002377AE">
        <w:rPr>
          <w:rFonts w:ascii="仿宋_GB2312" w:eastAsia="仿宋_GB2312" w:hint="eastAsia"/>
          <w:color w:val="000000"/>
          <w:sz w:val="32"/>
          <w:szCs w:val="32"/>
        </w:rPr>
        <w:t>。</w:t>
      </w:r>
    </w:p>
    <w:p w14:paraId="21E0EC6E" w14:textId="77777777" w:rsidR="00DC57D8" w:rsidRDefault="0000000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4" w:name="_Toc119075192"/>
      <w:r>
        <w:rPr>
          <w:rFonts w:ascii="仿宋" w:eastAsia="仿宋" w:hAnsi="仿宋" w:hint="eastAsia"/>
          <w:b/>
          <w:color w:val="000000"/>
          <w:sz w:val="32"/>
          <w:szCs w:val="32"/>
        </w:rPr>
        <w:t>（二）政府采购支出情况</w:t>
      </w:r>
      <w:bookmarkEnd w:id="73"/>
      <w:bookmarkEnd w:id="74"/>
    </w:p>
    <w:p w14:paraId="4CDB0523" w14:textId="77777777" w:rsidR="00DC57D8" w:rsidRDefault="00000000">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20年，我院政府采购支出总额2.5万元，其中：政府</w:t>
      </w:r>
      <w:r>
        <w:rPr>
          <w:rFonts w:ascii="仿宋_GB2312" w:eastAsia="仿宋_GB2312" w:hint="eastAsia"/>
          <w:color w:val="000000"/>
          <w:sz w:val="32"/>
          <w:szCs w:val="32"/>
        </w:rPr>
        <w:lastRenderedPageBreak/>
        <w:t>采购货物支出2.5万元、政府采购工程支出0万元、政府采购服务支出0万元。主要用于购置台式计算机（具体工作）。授予中小企业合同金额2.5万元，占政府采购支出总额的0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14:paraId="0960ED01" w14:textId="77777777" w:rsidR="00DC57D8" w:rsidRDefault="0000000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75" w:name="_Toc15377224"/>
      <w:bookmarkStart w:id="76" w:name="_Toc119075193"/>
      <w:r>
        <w:rPr>
          <w:rFonts w:ascii="仿宋" w:eastAsia="仿宋" w:hAnsi="仿宋" w:hint="eastAsia"/>
          <w:b/>
          <w:color w:val="000000"/>
          <w:sz w:val="32"/>
          <w:szCs w:val="32"/>
        </w:rPr>
        <w:t>（三）国有资产占有使用情况</w:t>
      </w:r>
      <w:bookmarkEnd w:id="75"/>
      <w:bookmarkEnd w:id="76"/>
    </w:p>
    <w:p w14:paraId="6670F84F" w14:textId="77777777" w:rsidR="00DC57D8" w:rsidRDefault="00000000">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20年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日，我院共有车辆28辆，其中：主要领导干部用车0辆、机要通信用车0辆、应急保障用车0辆、其他用车0辆，</w:t>
      </w:r>
      <w:r>
        <w:rPr>
          <w:rFonts w:ascii="仿宋_GB2312" w:eastAsia="仿宋_GB2312" w:hint="eastAsia"/>
          <w:color w:val="000000" w:themeColor="text1"/>
          <w:sz w:val="32"/>
          <w:szCs w:val="32"/>
        </w:rPr>
        <w:t>其他用车28</w:t>
      </w:r>
      <w:proofErr w:type="gramStart"/>
      <w:r>
        <w:rPr>
          <w:rFonts w:ascii="仿宋_GB2312" w:eastAsia="仿宋_GB2312" w:hint="eastAsia"/>
          <w:color w:val="000000" w:themeColor="text1"/>
          <w:sz w:val="32"/>
          <w:szCs w:val="32"/>
        </w:rPr>
        <w:t>两</w:t>
      </w:r>
      <w:proofErr w:type="gramEnd"/>
      <w:r>
        <w:rPr>
          <w:rFonts w:ascii="仿宋_GB2312" w:eastAsia="仿宋_GB2312" w:hint="eastAsia"/>
          <w:color w:val="000000" w:themeColor="text1"/>
          <w:sz w:val="32"/>
          <w:szCs w:val="32"/>
        </w:rPr>
        <w:t>，主要是用于野外地质勘查。单价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万元以上专用设备4台（套）。</w:t>
      </w:r>
    </w:p>
    <w:p w14:paraId="16F2CA57" w14:textId="77777777" w:rsidR="00DC57D8"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77" w:name="_Toc119075194"/>
      <w:r>
        <w:rPr>
          <w:rFonts w:ascii="仿宋" w:eastAsia="仿宋" w:hAnsi="仿宋" w:hint="eastAsia"/>
          <w:b/>
          <w:sz w:val="32"/>
          <w:szCs w:val="32"/>
        </w:rPr>
        <w:t>（四）预算绩效管理情况</w:t>
      </w:r>
      <w:bookmarkEnd w:id="77"/>
    </w:p>
    <w:p w14:paraId="7B4924B3" w14:textId="77777777" w:rsidR="00DC57D8"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根据绩效管理要求，对1个项目开展了项目绩效自评报告。</w:t>
      </w:r>
    </w:p>
    <w:p w14:paraId="4011D09A" w14:textId="77777777" w:rsidR="00DC57D8"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本单位按要求对2020年开展项目绩效自评报告，从评价情况来看，2020年我院项目绩效自评结果良好，项目支出保障了重点工作的开展，绩效管理水平不断提高，绩效指标体系逐渐丰富和完善。</w:t>
      </w:r>
    </w:p>
    <w:p w14:paraId="067C7B3E" w14:textId="77777777" w:rsidR="00DC57D8" w:rsidRDefault="00000000">
      <w:pPr>
        <w:numPr>
          <w:ilvl w:val="0"/>
          <w:numId w:val="5"/>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我院在2020年度部门决算中反映</w:t>
      </w:r>
      <w:r>
        <w:rPr>
          <w:rFonts w:ascii="仿宋" w:eastAsia="仿宋" w:hAnsi="仿宋" w:cs="仿宋" w:hint="eastAsia"/>
          <w:sz w:val="32"/>
          <w:szCs w:val="32"/>
        </w:rPr>
        <w:t>四川省重点行业企业用地调查</w:t>
      </w:r>
      <w:r>
        <w:rPr>
          <w:rFonts w:ascii="仿宋_GB2312" w:eastAsia="仿宋_GB2312" w:hAnsi="仿宋_GB2312" w:cs="仿宋_GB2312" w:hint="eastAsia"/>
          <w:sz w:val="32"/>
          <w:szCs w:val="32"/>
        </w:rPr>
        <w:t>项目绩效目标实际完成情况。</w:t>
      </w:r>
    </w:p>
    <w:p w14:paraId="70909E16" w14:textId="77777777" w:rsidR="00DC57D8" w:rsidRDefault="00000000">
      <w:pPr>
        <w:numPr>
          <w:ilvl w:val="0"/>
          <w:numId w:val="6"/>
        </w:numPr>
        <w:spacing w:line="580" w:lineRule="exact"/>
        <w:ind w:firstLineChars="200" w:firstLine="640"/>
        <w:rPr>
          <w:rFonts w:ascii="仿宋_GB2312" w:eastAsia="仿宋_GB2312" w:hAnsi="仿宋_GB2312" w:cs="仿宋_GB2312"/>
          <w:sz w:val="32"/>
          <w:szCs w:val="32"/>
        </w:rPr>
      </w:pPr>
      <w:r>
        <w:rPr>
          <w:rFonts w:ascii="仿宋" w:eastAsia="仿宋" w:hAnsi="仿宋" w:cs="仿宋" w:hint="eastAsia"/>
          <w:sz w:val="32"/>
          <w:szCs w:val="32"/>
        </w:rPr>
        <w:t>四川省重点行业企业用地调查</w:t>
      </w:r>
      <w:r>
        <w:rPr>
          <w:rFonts w:ascii="仿宋_GB2312" w:eastAsia="仿宋_GB2312" w:hAnsi="仿宋_GB2312" w:cs="仿宋_GB2312" w:hint="eastAsia"/>
          <w:sz w:val="32"/>
          <w:szCs w:val="32"/>
        </w:rPr>
        <w:t>项目绩效目标完成情况综述。项目全年预算数1125万元，执行数为1125万元，</w:t>
      </w:r>
      <w:r>
        <w:rPr>
          <w:rFonts w:ascii="仿宋_GB2312" w:eastAsia="仿宋_GB2312" w:hAnsi="仿宋_GB2312" w:cs="仿宋_GB2312" w:hint="eastAsia"/>
          <w:sz w:val="32"/>
          <w:szCs w:val="32"/>
        </w:rPr>
        <w:lastRenderedPageBreak/>
        <w:t>完成预算的100%。通过项目实施，摸清了企业用地土壤污染状况，为全省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提供了有效支撑。发现的主要问题：1、因新冠疫情影响，原采样启动计划被迫延迟，但环保部仍要求按原计划完成采样，因此在组织采样过程中，不断的增加人员和设备，造成成本大幅度增加。2、四川省企业体量较大，初步只对约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%的企业开展采样调查，剩下的问题较为突出的非重点行业企业仍需进一步开展调查。下一步改进措施：</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针对成本提高的问题，下一步工作中提前准备谋划，在不影响工作质量的情况下精准控制工作成本。2、对四川省部分非重点行业企业开展初步采样调查，力争在未来几年摸清全省重点关注企业的土壤污染状况。</w:t>
      </w:r>
    </w:p>
    <w:p w14:paraId="770DA468" w14:textId="77777777" w:rsidR="00DC57D8" w:rsidRDefault="00DC57D8">
      <w:pPr>
        <w:pStyle w:val="a0"/>
        <w:spacing w:before="93"/>
      </w:pPr>
    </w:p>
    <w:p w14:paraId="616911B5" w14:textId="77777777" w:rsidR="00DC57D8" w:rsidRDefault="00DC57D8">
      <w:pPr>
        <w:pStyle w:val="a0"/>
        <w:spacing w:before="93"/>
      </w:pPr>
    </w:p>
    <w:p w14:paraId="16D92433" w14:textId="77777777" w:rsidR="00DC57D8" w:rsidRDefault="00DC57D8">
      <w:pPr>
        <w:pStyle w:val="a0"/>
        <w:spacing w:before="93"/>
      </w:pPr>
    </w:p>
    <w:p w14:paraId="234E6B08" w14:textId="77777777" w:rsidR="00DC57D8" w:rsidRDefault="00DC57D8">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DC57D8" w14:paraId="744FB614" w14:textId="77777777">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126CD5B8" w14:textId="77777777" w:rsidR="00DC57D8" w:rsidRDefault="00000000">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DC57D8" w14:paraId="20C62805"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090CFC"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43F2CB" w14:textId="77777777" w:rsidR="00DC57D8" w:rsidRDefault="00000000">
            <w:pPr>
              <w:widowControl/>
              <w:jc w:val="center"/>
              <w:textAlignment w:val="center"/>
              <w:rPr>
                <w:rFonts w:ascii="宋体" w:hAnsi="宋体" w:cs="宋体"/>
                <w:sz w:val="24"/>
              </w:rPr>
            </w:pPr>
            <w:r>
              <w:rPr>
                <w:rFonts w:ascii="宋体" w:hAnsi="宋体" w:cs="宋体" w:hint="eastAsia"/>
                <w:sz w:val="24"/>
              </w:rPr>
              <w:t>四川省重点行业企业用地调查</w:t>
            </w:r>
          </w:p>
        </w:tc>
      </w:tr>
      <w:tr w:rsidR="00DC57D8" w14:paraId="42BFB50D"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FA0C39"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B3E0B1" w14:textId="77777777" w:rsidR="00DC57D8" w:rsidRDefault="00000000">
            <w:pPr>
              <w:widowControl/>
              <w:jc w:val="center"/>
              <w:textAlignment w:val="center"/>
              <w:rPr>
                <w:rFonts w:ascii="宋体" w:hAnsi="宋体" w:cs="宋体"/>
                <w:sz w:val="24"/>
              </w:rPr>
            </w:pPr>
            <w:r>
              <w:rPr>
                <w:rFonts w:ascii="宋体" w:hAnsi="宋体" w:cs="宋体" w:hint="eastAsia"/>
                <w:sz w:val="24"/>
              </w:rPr>
              <w:t>四川省地质调查院</w:t>
            </w:r>
          </w:p>
        </w:tc>
      </w:tr>
      <w:tr w:rsidR="00DC57D8" w14:paraId="575EF4E7"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189E4"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lastRenderedPageBreak/>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63C553"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95BE4C" w14:textId="77777777" w:rsidR="00DC57D8" w:rsidRDefault="00000000">
            <w:pPr>
              <w:widowControl/>
              <w:jc w:val="center"/>
              <w:textAlignment w:val="center"/>
              <w:rPr>
                <w:rFonts w:ascii="宋体" w:hAnsi="宋体" w:cs="宋体"/>
                <w:sz w:val="24"/>
              </w:rPr>
            </w:pPr>
            <w:r>
              <w:rPr>
                <w:rFonts w:ascii="宋体" w:hAnsi="宋体" w:cs="宋体" w:hint="eastAsia"/>
                <w:sz w:val="24"/>
              </w:rPr>
              <w:t>1125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2257A"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4982E" w14:textId="77777777" w:rsidR="00DC57D8" w:rsidRDefault="00000000">
            <w:pPr>
              <w:widowControl/>
              <w:jc w:val="center"/>
              <w:textAlignment w:val="center"/>
              <w:rPr>
                <w:rFonts w:ascii="宋体" w:hAnsi="宋体" w:cs="宋体"/>
                <w:sz w:val="24"/>
              </w:rPr>
            </w:pPr>
            <w:r>
              <w:rPr>
                <w:rFonts w:ascii="宋体" w:hAnsi="宋体" w:cs="宋体" w:hint="eastAsia"/>
                <w:sz w:val="24"/>
              </w:rPr>
              <w:t>1125</w:t>
            </w:r>
          </w:p>
        </w:tc>
      </w:tr>
      <w:tr w:rsidR="00DC57D8" w14:paraId="3F3078D2" w14:textId="77777777">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613BD" w14:textId="77777777" w:rsidR="00DC57D8" w:rsidRDefault="00DC57D8">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9020FC"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4E4FF8" w14:textId="77777777" w:rsidR="00DC57D8" w:rsidRDefault="00000000">
            <w:pPr>
              <w:widowControl/>
              <w:jc w:val="center"/>
              <w:textAlignment w:val="center"/>
              <w:rPr>
                <w:rFonts w:ascii="宋体" w:hAnsi="宋体" w:cs="宋体"/>
                <w:sz w:val="24"/>
              </w:rPr>
            </w:pPr>
            <w:r>
              <w:rPr>
                <w:rFonts w:ascii="宋体" w:hAnsi="宋体" w:cs="宋体" w:hint="eastAsia"/>
                <w:sz w:val="24"/>
              </w:rPr>
              <w:t>1125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5EB090"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86B7E" w14:textId="77777777" w:rsidR="00DC57D8" w:rsidRDefault="00000000">
            <w:pPr>
              <w:widowControl/>
              <w:jc w:val="center"/>
              <w:textAlignment w:val="center"/>
              <w:rPr>
                <w:rFonts w:ascii="宋体" w:hAnsi="宋体" w:cs="宋体"/>
                <w:sz w:val="24"/>
              </w:rPr>
            </w:pPr>
            <w:r>
              <w:rPr>
                <w:rFonts w:ascii="宋体" w:hAnsi="宋体" w:cs="宋体" w:hint="eastAsia"/>
                <w:sz w:val="24"/>
              </w:rPr>
              <w:t>1125</w:t>
            </w:r>
          </w:p>
        </w:tc>
      </w:tr>
      <w:tr w:rsidR="00DC57D8" w14:paraId="5D7A95CF" w14:textId="77777777">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7E508" w14:textId="77777777" w:rsidR="00DC57D8" w:rsidRDefault="00DC57D8">
            <w:pPr>
              <w:jc w:val="center"/>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3A4E73"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09D39" w14:textId="77777777" w:rsidR="00DC57D8" w:rsidRDefault="00DC57D8">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FC4887"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7656A" w14:textId="77777777" w:rsidR="00DC57D8" w:rsidRDefault="00DC57D8">
            <w:pPr>
              <w:jc w:val="center"/>
              <w:rPr>
                <w:rFonts w:ascii="宋体" w:hAnsi="宋体" w:cs="宋体"/>
                <w:sz w:val="24"/>
              </w:rPr>
            </w:pPr>
          </w:p>
        </w:tc>
      </w:tr>
      <w:tr w:rsidR="00DC57D8" w14:paraId="6178FED1" w14:textId="77777777">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1FB3E"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A05996"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997DB8" w14:textId="77777777" w:rsidR="00DC57D8" w:rsidRDefault="00000000">
            <w:pPr>
              <w:widowControl/>
              <w:jc w:val="center"/>
              <w:textAlignment w:val="center"/>
              <w:rPr>
                <w:rFonts w:ascii="宋体" w:hAnsi="宋体" w:cs="宋体"/>
                <w:sz w:val="24"/>
              </w:rPr>
            </w:pPr>
            <w:r>
              <w:rPr>
                <w:rFonts w:ascii="宋体" w:hAnsi="宋体" w:cs="宋体" w:hint="eastAsia"/>
                <w:kern w:val="0"/>
                <w:sz w:val="24"/>
                <w:lang w:bidi="ar"/>
              </w:rPr>
              <w:t>实际完成目标</w:t>
            </w:r>
          </w:p>
        </w:tc>
      </w:tr>
      <w:tr w:rsidR="00DC57D8" w14:paraId="7E47C8E3" w14:textId="77777777">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D4853E" w14:textId="77777777" w:rsidR="00DC57D8" w:rsidRDefault="00DC57D8">
            <w:pPr>
              <w:jc w:val="center"/>
              <w:rPr>
                <w:rFonts w:ascii="宋体" w:hAns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89C40" w14:textId="77777777" w:rsidR="00DC57D8" w:rsidRDefault="00000000">
            <w:pPr>
              <w:widowControl/>
              <w:jc w:val="center"/>
              <w:textAlignment w:val="center"/>
              <w:rPr>
                <w:rFonts w:ascii="宋体" w:hAnsi="宋体" w:cs="宋体"/>
                <w:sz w:val="24"/>
              </w:rPr>
            </w:pPr>
            <w:r>
              <w:rPr>
                <w:rFonts w:ascii="宋体" w:hAnsi="宋体" w:cs="宋体" w:hint="eastAsia"/>
                <w:sz w:val="24"/>
              </w:rPr>
              <w:t>四川省地质调查院承担403个地块，26个化工园区和2个土壤背景点的采样任务，约占全省总任务量的52%，主要内容为地下水采样井建设、土壤采样孔钻探以及水样和土样的采集。</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F1F7E" w14:textId="77777777" w:rsidR="00DC57D8" w:rsidRDefault="00000000">
            <w:pPr>
              <w:widowControl/>
              <w:jc w:val="center"/>
              <w:textAlignment w:val="center"/>
              <w:rPr>
                <w:rFonts w:ascii="宋体" w:hAnsi="宋体" w:cs="宋体"/>
                <w:sz w:val="24"/>
              </w:rPr>
            </w:pPr>
            <w:r>
              <w:rPr>
                <w:rFonts w:ascii="宋体" w:hAnsi="宋体" w:cs="宋体" w:hint="eastAsia"/>
                <w:sz w:val="24"/>
              </w:rPr>
              <w:t>共完成地块数402个、工业园区26个，共428个；此外完成2个背景点样品采集。共完成钻孔数2977个，其中土壤采样孔1986个，采集土壤样（正样）5035件、平行样724样，地下水采样孔991个、采集地下水正样596件、平行样272样，工业园区26个、采集生活饮用水112件，背景点2个，采集土壤样品6件。凉山州甘洛县</w:t>
            </w:r>
            <w:proofErr w:type="gramStart"/>
            <w:r>
              <w:rPr>
                <w:rFonts w:ascii="宋体" w:hAnsi="宋体" w:cs="宋体" w:hint="eastAsia"/>
                <w:sz w:val="24"/>
              </w:rPr>
              <w:t>一</w:t>
            </w:r>
            <w:proofErr w:type="gramEnd"/>
            <w:r>
              <w:rPr>
                <w:rFonts w:ascii="宋体" w:hAnsi="宋体" w:cs="宋体" w:hint="eastAsia"/>
                <w:sz w:val="24"/>
              </w:rPr>
              <w:t>地块因地面积水，无法开展工作，其余市（州）设计地块数和工业园区数量全面完成</w:t>
            </w:r>
          </w:p>
        </w:tc>
      </w:tr>
      <w:tr w:rsidR="00DC57D8" w14:paraId="6E697453" w14:textId="77777777">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22F29B70" w14:textId="77777777" w:rsidR="00DC57D8" w:rsidRDefault="00000000">
            <w:pPr>
              <w:widowControl/>
              <w:jc w:val="center"/>
              <w:textAlignment w:val="center"/>
              <w:rPr>
                <w:rFonts w:ascii="宋体" w:hAns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41CB9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D1B28"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78E31"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96E4A3"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E1E34"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实际完成指标值(包含数字及文字描述)</w:t>
            </w:r>
          </w:p>
        </w:tc>
      </w:tr>
      <w:tr w:rsidR="00DC57D8" w14:paraId="67FF8EA4" w14:textId="77777777">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EA08046"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65DB77"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A13C7F"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AACE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地块、化工园区、背景点采样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E8E34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403个地块、26个化工园区、2个土壤背景点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4EDB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完成402个地块采样，完成26个化工园区采样，完成2个土壤背景点采样。凉山州甘洛县一个地块因地面积水无法开展工作</w:t>
            </w:r>
          </w:p>
        </w:tc>
      </w:tr>
      <w:tr w:rsidR="00DC57D8" w14:paraId="34DA164A" w14:textId="7777777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21026A2"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6F4C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08A380"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7523F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按国家技术要求完成采样工作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F28D7B"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通过四川省环科院的验收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A8918"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已通过四川省环科院的验收</w:t>
            </w:r>
          </w:p>
        </w:tc>
      </w:tr>
      <w:tr w:rsidR="00DC57D8" w14:paraId="5C403F80" w14:textId="7777777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2D95F40C"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C02EB3"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C67AA"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B1A81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根据国家及省生态环境厅要求，按时完成采样及样品粗制等工作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8B6C0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2020年9月31日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D10F4"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已于2020年9月底前全面完成采样及样品粗制工作</w:t>
            </w:r>
          </w:p>
        </w:tc>
      </w:tr>
      <w:tr w:rsidR="00DC57D8" w14:paraId="624207F9" w14:textId="7777777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27D0F528"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9C957" w14:textId="77777777" w:rsidR="00DC57D8" w:rsidRDefault="00000000">
            <w:pPr>
              <w:widowControl/>
              <w:jc w:val="center"/>
              <w:rPr>
                <w:rFonts w:ascii="宋体" w:hAnsi="宋体" w:cs="宋体"/>
                <w:kern w:val="0"/>
                <w:sz w:val="24"/>
                <w:lang w:bidi="ar"/>
              </w:rPr>
            </w:pPr>
            <w:r>
              <w:rPr>
                <w:rFonts w:ascii="宋体" w:hAnsi="宋体" w:cs="Arial" w:hint="eastAsia"/>
                <w:kern w:val="0"/>
                <w:sz w:val="22"/>
                <w:szCs w:val="22"/>
                <w:lang w:bidi="bo-CN"/>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DBED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FD6D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预算经费</w:t>
            </w:r>
            <w:r>
              <w:rPr>
                <w:rFonts w:ascii="宋体" w:hAnsi="宋体" w:cs="Arial"/>
                <w:kern w:val="0"/>
                <w:sz w:val="22"/>
                <w:szCs w:val="22"/>
                <w:lang w:bidi="bo-CN"/>
              </w:rPr>
              <w:t>2324.69</w:t>
            </w:r>
            <w:r>
              <w:rPr>
                <w:rFonts w:ascii="宋体" w:hAnsi="宋体" w:cs="Arial" w:hint="eastAsia"/>
                <w:kern w:val="0"/>
                <w:sz w:val="22"/>
                <w:szCs w:val="22"/>
                <w:lang w:bidi="bo-CN"/>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2A710"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0FF54B"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100%</w:t>
            </w:r>
          </w:p>
        </w:tc>
      </w:tr>
      <w:tr w:rsidR="00DC57D8" w14:paraId="575E42B2" w14:textId="7777777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A38D179"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8C5A8"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38870"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A5F25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推进建设用地准入管理，实施土壤污染分类别、分用途、分阶段治</w:t>
            </w:r>
            <w:r>
              <w:rPr>
                <w:rFonts w:ascii="宋体" w:hAnsi="宋体" w:cs="Arial" w:hint="eastAsia"/>
                <w:kern w:val="0"/>
                <w:sz w:val="22"/>
                <w:szCs w:val="22"/>
                <w:lang w:bidi="bo-CN"/>
              </w:rPr>
              <w:lastRenderedPageBreak/>
              <w:t>理，加强土壤环境污染防治和风险管控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4E387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lastRenderedPageBreak/>
              <w:t>无</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D9ECC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无</w:t>
            </w:r>
          </w:p>
        </w:tc>
      </w:tr>
      <w:tr w:rsidR="00DC57D8" w14:paraId="245996E4" w14:textId="7777777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63198C7"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EFCA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EEB3BD"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207D1"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促进初步采样工作保质保量完成，保障我省重点行业企业用地掉核查工作有序推进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A2B29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建立全省重点行业企业用地疑似污染地块清单、污染地块清单和优先管控名录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9561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已根据调查成果建立了全省重点行业企业用地疑似污染地块清单、污染地块清单和优先管控名录</w:t>
            </w:r>
          </w:p>
        </w:tc>
      </w:tr>
      <w:tr w:rsidR="00DC57D8" w14:paraId="346D37C2" w14:textId="77777777">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BFE6213"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05440E"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075B3"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018BC"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维护公众健康，建立和完善我省土壤环境管理体系，提升土壤环境管理水平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41D3CA"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防控企业用地环境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66D102" w14:textId="77777777" w:rsidR="00DC57D8" w:rsidRDefault="00000000">
            <w:pPr>
              <w:widowControl/>
              <w:jc w:val="center"/>
              <w:rPr>
                <w:rFonts w:ascii="宋体" w:hAnsi="宋体" w:cs="宋体"/>
                <w:sz w:val="24"/>
              </w:rPr>
            </w:pPr>
            <w:r>
              <w:rPr>
                <w:rFonts w:ascii="宋体" w:hAnsi="宋体" w:cs="Arial" w:hint="eastAsia"/>
                <w:kern w:val="0"/>
                <w:sz w:val="22"/>
                <w:szCs w:val="22"/>
                <w:lang w:bidi="bo-CN"/>
              </w:rPr>
              <w:t>根据调查成果，防止企业用地环境恶化</w:t>
            </w:r>
          </w:p>
        </w:tc>
      </w:tr>
      <w:tr w:rsidR="00DC57D8" w14:paraId="6FFFC928" w14:textId="7777777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D00D4E2"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3BFEA" w14:textId="77777777" w:rsidR="00DC57D8" w:rsidRDefault="00000000">
            <w:pPr>
              <w:widowControl/>
              <w:jc w:val="center"/>
              <w:rPr>
                <w:rFonts w:ascii="宋体" w:hAnsi="宋体" w:cs="宋体"/>
                <w:sz w:val="24"/>
              </w:rPr>
            </w:pPr>
            <w:r>
              <w:rPr>
                <w:rFonts w:ascii="宋体" w:hAnsi="宋体" w:cs="Arial" w:hint="eastAsia"/>
                <w:kern w:val="0"/>
                <w:sz w:val="24"/>
                <w:lang w:bidi="bo-CN"/>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16375E" w14:textId="77777777" w:rsidR="00DC57D8" w:rsidRDefault="00000000">
            <w:pPr>
              <w:widowControl/>
              <w:jc w:val="center"/>
              <w:rPr>
                <w:rFonts w:ascii="宋体" w:hAnsi="宋体" w:cs="宋体"/>
                <w:sz w:val="24"/>
              </w:rPr>
            </w:pPr>
            <w:r>
              <w:rPr>
                <w:rFonts w:ascii="宋体" w:hAnsi="宋体" w:cs="Arial" w:hint="eastAsia"/>
                <w:kern w:val="0"/>
                <w:sz w:val="24"/>
                <w:lang w:bidi="bo-CN"/>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6F64E" w14:textId="77777777" w:rsidR="00DC57D8" w:rsidRDefault="00000000">
            <w:pPr>
              <w:widowControl/>
              <w:jc w:val="center"/>
              <w:rPr>
                <w:rFonts w:ascii="宋体" w:hAnsi="宋体" w:cs="宋体"/>
                <w:sz w:val="24"/>
              </w:rPr>
            </w:pPr>
            <w:r>
              <w:rPr>
                <w:rFonts w:ascii="宋体" w:hAnsi="宋体" w:cs="Arial" w:hint="eastAsia"/>
                <w:kern w:val="0"/>
                <w:sz w:val="24"/>
                <w:lang w:bidi="bo-CN"/>
              </w:rPr>
              <w:t>促进我省土壤污染防治工作有序开展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33CA0E" w14:textId="77777777" w:rsidR="00DC57D8" w:rsidRDefault="00000000">
            <w:pPr>
              <w:widowControl/>
              <w:jc w:val="center"/>
              <w:rPr>
                <w:rFonts w:ascii="宋体" w:hAnsi="宋体" w:cs="宋体"/>
                <w:sz w:val="24"/>
              </w:rPr>
            </w:pPr>
            <w:r>
              <w:rPr>
                <w:rFonts w:ascii="宋体" w:hAnsi="宋体" w:cs="Arial" w:hint="eastAsia"/>
                <w:kern w:val="0"/>
                <w:sz w:val="24"/>
                <w:lang w:bidi="bo-CN"/>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B4C02" w14:textId="77777777" w:rsidR="00DC57D8" w:rsidRDefault="00000000">
            <w:pPr>
              <w:widowControl/>
              <w:jc w:val="center"/>
              <w:rPr>
                <w:rFonts w:ascii="宋体" w:hAnsi="宋体" w:cs="宋体"/>
                <w:sz w:val="24"/>
              </w:rPr>
            </w:pPr>
            <w:r>
              <w:rPr>
                <w:rFonts w:ascii="宋体" w:hAnsi="宋体" w:cs="Arial" w:hint="eastAsia"/>
                <w:kern w:val="0"/>
                <w:sz w:val="24"/>
                <w:lang w:bidi="bo-CN"/>
              </w:rPr>
              <w:t>重点行业企业用地调查工作已有序开展完成</w:t>
            </w:r>
          </w:p>
        </w:tc>
      </w:tr>
      <w:tr w:rsidR="00DC57D8" w14:paraId="5D3E79C0" w14:textId="77777777">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2D4FAF8" w14:textId="77777777" w:rsidR="00DC57D8" w:rsidRDefault="00DC57D8">
            <w:pPr>
              <w:widowControl/>
              <w:jc w:val="center"/>
              <w:textAlignment w:val="center"/>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ACC43F" w14:textId="77777777" w:rsidR="00DC57D8" w:rsidRDefault="00000000">
            <w:pPr>
              <w:widowControl/>
              <w:jc w:val="center"/>
              <w:rPr>
                <w:rFonts w:ascii="宋体" w:hAnsi="宋体" w:cs="宋体"/>
                <w:kern w:val="0"/>
                <w:sz w:val="24"/>
                <w:lang w:bidi="ar"/>
              </w:rPr>
            </w:pPr>
            <w:r>
              <w:rPr>
                <w:rFonts w:ascii="宋体" w:hAnsi="宋体" w:cs="Arial" w:hint="eastAsia"/>
                <w:kern w:val="0"/>
                <w:sz w:val="24"/>
                <w:lang w:bidi="bo-CN"/>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1A205" w14:textId="77777777" w:rsidR="00DC57D8" w:rsidRDefault="00000000">
            <w:pPr>
              <w:widowControl/>
              <w:jc w:val="center"/>
              <w:rPr>
                <w:rFonts w:ascii="宋体" w:hAnsi="宋体" w:cs="宋体"/>
                <w:sz w:val="24"/>
              </w:rPr>
            </w:pPr>
            <w:r>
              <w:rPr>
                <w:rFonts w:ascii="宋体" w:hAnsi="宋体" w:cs="Arial" w:hint="eastAsia"/>
                <w:kern w:val="0"/>
                <w:sz w:val="24"/>
                <w:lang w:bidi="bo-CN"/>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E15A7B" w14:textId="77777777" w:rsidR="00DC57D8" w:rsidRDefault="00000000">
            <w:pPr>
              <w:widowControl/>
              <w:jc w:val="center"/>
              <w:rPr>
                <w:rFonts w:ascii="宋体" w:hAnsi="宋体" w:cs="宋体"/>
                <w:sz w:val="24"/>
              </w:rPr>
            </w:pPr>
            <w:r>
              <w:rPr>
                <w:rFonts w:ascii="宋体" w:hAnsi="宋体" w:cs="Arial" w:hint="eastAsia"/>
                <w:kern w:val="0"/>
                <w:sz w:val="24"/>
                <w:lang w:bidi="bo-CN"/>
              </w:rPr>
              <w:t>通过四川省生态环境厅组织的验收，满足国家防控的要求</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58F128" w14:textId="77777777" w:rsidR="00DC57D8" w:rsidRDefault="00000000">
            <w:pPr>
              <w:widowControl/>
              <w:jc w:val="center"/>
              <w:rPr>
                <w:rFonts w:ascii="宋体" w:hAnsi="宋体" w:cs="宋体"/>
                <w:sz w:val="24"/>
              </w:rPr>
            </w:pPr>
            <w:r>
              <w:rPr>
                <w:rFonts w:ascii="宋体" w:hAnsi="宋体" w:cs="Arial" w:hint="eastAsia"/>
                <w:kern w:val="0"/>
                <w:sz w:val="24"/>
                <w:lang w:bidi="bo-CN"/>
              </w:rPr>
              <w:t>满意度指标达90%以上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286884" w14:textId="77777777" w:rsidR="00DC57D8" w:rsidRDefault="00000000">
            <w:pPr>
              <w:widowControl/>
              <w:jc w:val="center"/>
              <w:rPr>
                <w:rFonts w:ascii="宋体" w:hAnsi="宋体" w:cs="宋体"/>
                <w:sz w:val="24"/>
              </w:rPr>
            </w:pPr>
            <w:r>
              <w:rPr>
                <w:rFonts w:ascii="宋体" w:hAnsi="宋体" w:cs="Arial" w:hint="eastAsia"/>
                <w:kern w:val="0"/>
                <w:sz w:val="24"/>
                <w:lang w:bidi="bo-CN"/>
              </w:rPr>
              <w:t>通过已通过省级抽查，合格率100%，四川省生态环境</w:t>
            </w:r>
            <w:proofErr w:type="gramStart"/>
            <w:r>
              <w:rPr>
                <w:rFonts w:ascii="宋体" w:hAnsi="宋体" w:cs="Arial" w:hint="eastAsia"/>
                <w:kern w:val="0"/>
                <w:sz w:val="24"/>
                <w:lang w:bidi="bo-CN"/>
              </w:rPr>
              <w:t>厅满意</w:t>
            </w:r>
            <w:proofErr w:type="gramEnd"/>
            <w:r>
              <w:rPr>
                <w:rFonts w:ascii="宋体" w:hAnsi="宋体" w:cs="Arial" w:hint="eastAsia"/>
                <w:kern w:val="0"/>
                <w:sz w:val="24"/>
                <w:lang w:bidi="bo-CN"/>
              </w:rPr>
              <w:t>度100%。</w:t>
            </w:r>
          </w:p>
        </w:tc>
      </w:tr>
    </w:tbl>
    <w:p w14:paraId="40D1A6DF" w14:textId="77777777" w:rsidR="00DC57D8" w:rsidRDefault="00DC57D8">
      <w:pPr>
        <w:spacing w:line="580" w:lineRule="exact"/>
        <w:rPr>
          <w:rFonts w:ascii="仿宋" w:eastAsia="仿宋" w:hAnsi="仿宋" w:cs="仿宋"/>
          <w:sz w:val="32"/>
          <w:szCs w:val="32"/>
        </w:rPr>
      </w:pPr>
    </w:p>
    <w:p w14:paraId="45FB96F9" w14:textId="77777777" w:rsidR="00DC57D8"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2.单位绩效评价结果。</w:t>
      </w:r>
    </w:p>
    <w:p w14:paraId="5FDB9FC1" w14:textId="77777777" w:rsidR="00DC57D8" w:rsidRDefault="00000000">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本单位自行组织对四川省重点行业企业用地调查项目开展了绩效评价，《2020年四川省重点行业企业用地调查项目支出绩效自评报告》见附件（第四部分）。</w:t>
      </w:r>
    </w:p>
    <w:p w14:paraId="078C8C07" w14:textId="77777777" w:rsidR="00DC57D8" w:rsidRDefault="00000000">
      <w:pPr>
        <w:widowControl/>
        <w:jc w:val="left"/>
        <w:rPr>
          <w:rFonts w:ascii="仿宋" w:eastAsia="仿宋" w:hAnsi="仿宋" w:cs="仿宋"/>
          <w:b/>
          <w:color w:val="000000"/>
          <w:sz w:val="32"/>
          <w:szCs w:val="32"/>
        </w:rPr>
      </w:pPr>
      <w:r>
        <w:rPr>
          <w:rFonts w:ascii="仿宋" w:eastAsia="仿宋" w:hAnsi="仿宋" w:cs="仿宋" w:hint="eastAsia"/>
          <w:b/>
          <w:color w:val="000000"/>
          <w:sz w:val="32"/>
          <w:szCs w:val="32"/>
        </w:rPr>
        <w:br w:type="page"/>
      </w:r>
    </w:p>
    <w:p w14:paraId="35E4A503" w14:textId="77777777" w:rsidR="00DC57D8" w:rsidRDefault="00000000">
      <w:pPr>
        <w:numPr>
          <w:ilvl w:val="0"/>
          <w:numId w:val="7"/>
        </w:numPr>
        <w:spacing w:line="600" w:lineRule="exact"/>
        <w:ind w:firstLineChars="150" w:firstLine="660"/>
        <w:jc w:val="center"/>
        <w:outlineLvl w:val="0"/>
        <w:rPr>
          <w:rStyle w:val="10"/>
          <w:rFonts w:ascii="黑体" w:eastAsia="黑体" w:hAnsi="黑体"/>
          <w:b w:val="0"/>
        </w:rPr>
      </w:pPr>
      <w:bookmarkStart w:id="78" w:name="_Toc15377225"/>
      <w:bookmarkStart w:id="79" w:name="_Toc15396613"/>
      <w:bookmarkStart w:id="80" w:name="_Toc119075195"/>
      <w:r>
        <w:rPr>
          <w:rFonts w:ascii="黑体" w:eastAsia="黑体" w:hAnsi="黑体" w:hint="eastAsia"/>
          <w:color w:val="000000"/>
          <w:sz w:val="44"/>
          <w:szCs w:val="44"/>
        </w:rPr>
        <w:lastRenderedPageBreak/>
        <w:t>名</w:t>
      </w:r>
      <w:r>
        <w:rPr>
          <w:rStyle w:val="10"/>
          <w:rFonts w:ascii="黑体" w:eastAsia="黑体" w:hAnsi="黑体" w:hint="eastAsia"/>
          <w:b w:val="0"/>
        </w:rPr>
        <w:t>词解释</w:t>
      </w:r>
      <w:bookmarkEnd w:id="78"/>
      <w:bookmarkEnd w:id="79"/>
      <w:bookmarkEnd w:id="80"/>
    </w:p>
    <w:p w14:paraId="1F9B2DF9" w14:textId="77777777" w:rsidR="00DC57D8" w:rsidRDefault="00DC57D8">
      <w:pPr>
        <w:spacing w:line="600" w:lineRule="exact"/>
        <w:jc w:val="left"/>
        <w:rPr>
          <w:rFonts w:ascii="宋体"/>
          <w:b/>
          <w:color w:val="000000"/>
          <w:sz w:val="44"/>
          <w:szCs w:val="44"/>
        </w:rPr>
      </w:pPr>
    </w:p>
    <w:p w14:paraId="1F3F60AE" w14:textId="77777777" w:rsidR="00DC57D8" w:rsidRDefault="0000000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14:paraId="5D6CC807" w14:textId="77777777" w:rsidR="00DC57D8"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经营收入：指事业单位在专业业务活动及其辅助活动之外开展非独立核算经营活动取得的收入。</w:t>
      </w:r>
      <w:r>
        <w:rPr>
          <w:rFonts w:hAnsi="仿宋" w:hint="eastAsia"/>
          <w:sz w:val="32"/>
          <w:szCs w:val="32"/>
        </w:rPr>
        <w:t>按我院统一部署，抓住市场机遇将经营重点放在经营市场的开拓上，在经营市场竞争激烈等诸多不利局面下，我们努力开拓市场业务，新增市场项目。</w:t>
      </w:r>
    </w:p>
    <w:p w14:paraId="3142A610" w14:textId="77777777" w:rsidR="00DC57D8" w:rsidRDefault="00000000">
      <w:pPr>
        <w:ind w:firstLineChars="200" w:firstLine="640"/>
        <w:rPr>
          <w:rFonts w:ascii="仿宋" w:eastAsia="仿宋" w:hAnsi="仿宋" w:cs="仿宋"/>
          <w:color w:val="000000"/>
          <w:spacing w:val="6"/>
          <w:sz w:val="32"/>
          <w:szCs w:val="32"/>
        </w:rPr>
      </w:pPr>
      <w:r>
        <w:rPr>
          <w:rFonts w:ascii="仿宋" w:eastAsia="仿宋" w:hAnsi="仿宋" w:cs="仿宋" w:hint="eastAsia"/>
          <w:sz w:val="32"/>
          <w:szCs w:val="32"/>
        </w:rPr>
        <w:t>3.其他收入：我单位取得除上述收入以外的包括中国</w:t>
      </w:r>
      <w:proofErr w:type="gramStart"/>
      <w:r>
        <w:rPr>
          <w:rFonts w:ascii="仿宋" w:eastAsia="仿宋" w:hAnsi="仿宋" w:cs="仿宋" w:hint="eastAsia"/>
          <w:sz w:val="32"/>
          <w:szCs w:val="32"/>
        </w:rPr>
        <w:t>地调局等</w:t>
      </w:r>
      <w:proofErr w:type="gramEnd"/>
      <w:r>
        <w:rPr>
          <w:rFonts w:ascii="仿宋" w:eastAsia="仿宋" w:hAnsi="仿宋" w:cs="仿宋" w:hint="eastAsia"/>
          <w:sz w:val="32"/>
          <w:szCs w:val="32"/>
        </w:rPr>
        <w:t>单位的项目收入。</w:t>
      </w:r>
    </w:p>
    <w:p w14:paraId="64E96E68" w14:textId="77777777" w:rsidR="00DC57D8"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14:paraId="6A3D6744" w14:textId="77777777" w:rsidR="00DC57D8"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14:paraId="50AF9396" w14:textId="77777777" w:rsidR="00DC57D8" w:rsidRDefault="0000000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6、年末结转和结余：指单位按有关规定结转到下年或以后年度继续使用的资金。</w:t>
      </w:r>
    </w:p>
    <w:p w14:paraId="7ABDD34E" w14:textId="77777777" w:rsidR="00DC57D8" w:rsidRDefault="00000000">
      <w:pPr>
        <w:spacing w:line="600" w:lineRule="exact"/>
        <w:ind w:firstLineChars="200" w:firstLine="640"/>
        <w:rPr>
          <w:rStyle w:val="ac"/>
          <w:rFonts w:ascii="仿宋" w:eastAsia="仿宋" w:hAnsi="仿宋"/>
          <w:b w:val="0"/>
          <w:color w:val="000000"/>
          <w:sz w:val="32"/>
          <w:szCs w:val="32"/>
        </w:rPr>
      </w:pPr>
      <w:r>
        <w:rPr>
          <w:rStyle w:val="ac"/>
          <w:rFonts w:ascii="仿宋" w:eastAsia="仿宋" w:hAnsi="仿宋" w:hint="eastAsia"/>
          <w:b w:val="0"/>
          <w:color w:val="000000"/>
          <w:sz w:val="32"/>
          <w:szCs w:val="32"/>
        </w:rPr>
        <w:t>7、科学技术（类）技术研究与开发（款）其他技术研究与开发支出（项）</w:t>
      </w:r>
      <w:r>
        <w:rPr>
          <w:rStyle w:val="ac"/>
          <w:rFonts w:ascii="仿宋" w:eastAsia="仿宋" w:hAnsi="仿宋"/>
          <w:b w:val="0"/>
          <w:color w:val="000000"/>
          <w:sz w:val="32"/>
          <w:szCs w:val="32"/>
        </w:rPr>
        <w:t xml:space="preserve">: </w:t>
      </w:r>
      <w:r>
        <w:rPr>
          <w:rStyle w:val="ac"/>
          <w:rFonts w:ascii="仿宋" w:eastAsia="仿宋" w:hAnsi="仿宋" w:hint="eastAsia"/>
          <w:b w:val="0"/>
          <w:color w:val="000000"/>
          <w:sz w:val="32"/>
          <w:szCs w:val="32"/>
        </w:rPr>
        <w:t>指</w:t>
      </w:r>
      <w:r>
        <w:rPr>
          <w:rFonts w:ascii="仿宋" w:eastAsia="仿宋" w:hAnsi="仿宋" w:cs="仿宋" w:hint="eastAsia"/>
          <w:color w:val="3D3D3D"/>
          <w:sz w:val="32"/>
          <w:szCs w:val="32"/>
          <w:shd w:val="clear" w:color="auto" w:fill="FFFFFF"/>
        </w:rPr>
        <w:t>除上述项目外，其他用于技术研究与开发方面的支出</w:t>
      </w:r>
      <w:r>
        <w:rPr>
          <w:rStyle w:val="ac"/>
          <w:rFonts w:ascii="仿宋" w:eastAsia="仿宋" w:hAnsi="仿宋" w:hint="eastAsia"/>
          <w:b w:val="0"/>
          <w:color w:val="000000"/>
          <w:sz w:val="32"/>
          <w:szCs w:val="32"/>
        </w:rPr>
        <w:t>。</w:t>
      </w:r>
    </w:p>
    <w:p w14:paraId="5F60542A" w14:textId="77777777" w:rsidR="00DC57D8" w:rsidRDefault="00000000">
      <w:pPr>
        <w:spacing w:line="600" w:lineRule="exact"/>
        <w:ind w:firstLineChars="200" w:firstLine="640"/>
        <w:rPr>
          <w:rStyle w:val="ac"/>
          <w:rFonts w:ascii="仿宋" w:eastAsia="仿宋" w:hAnsi="仿宋"/>
          <w:b w:val="0"/>
          <w:color w:val="000000"/>
          <w:sz w:val="32"/>
          <w:szCs w:val="32"/>
        </w:rPr>
      </w:pPr>
      <w:r>
        <w:rPr>
          <w:rStyle w:val="ac"/>
          <w:rFonts w:ascii="仿宋" w:eastAsia="仿宋" w:hAnsi="仿宋" w:hint="eastAsia"/>
          <w:b w:val="0"/>
          <w:color w:val="000000"/>
          <w:sz w:val="32"/>
          <w:szCs w:val="32"/>
        </w:rPr>
        <w:t>8、科学技术（类）其他科学技术支出（款）其他科学技术支出（项）</w:t>
      </w:r>
      <w:r>
        <w:rPr>
          <w:rStyle w:val="ac"/>
          <w:rFonts w:ascii="仿宋" w:eastAsia="仿宋" w:hAnsi="仿宋"/>
          <w:b w:val="0"/>
          <w:color w:val="000000"/>
          <w:sz w:val="32"/>
          <w:szCs w:val="32"/>
        </w:rPr>
        <w:t xml:space="preserve">: </w:t>
      </w:r>
      <w:r>
        <w:rPr>
          <w:rStyle w:val="ac"/>
          <w:rFonts w:ascii="仿宋" w:eastAsia="仿宋" w:hAnsi="仿宋" w:hint="eastAsia"/>
          <w:b w:val="0"/>
          <w:color w:val="000000"/>
          <w:sz w:val="32"/>
          <w:szCs w:val="32"/>
        </w:rPr>
        <w:t>指</w:t>
      </w:r>
      <w:r>
        <w:rPr>
          <w:rFonts w:ascii="仿宋" w:eastAsia="仿宋" w:hAnsi="仿宋" w:cs="仿宋" w:hint="eastAsia"/>
          <w:color w:val="3D3D3D"/>
          <w:sz w:val="32"/>
          <w:szCs w:val="32"/>
          <w:shd w:val="clear" w:color="auto" w:fill="FFFFFF"/>
        </w:rPr>
        <w:t>除上述项目外，其他用于科学技术支出</w:t>
      </w:r>
      <w:r>
        <w:rPr>
          <w:rStyle w:val="ac"/>
          <w:rFonts w:ascii="仿宋" w:eastAsia="仿宋" w:hAnsi="仿宋" w:hint="eastAsia"/>
          <w:b w:val="0"/>
          <w:color w:val="000000"/>
          <w:sz w:val="32"/>
          <w:szCs w:val="32"/>
        </w:rPr>
        <w:t>。</w:t>
      </w:r>
    </w:p>
    <w:p w14:paraId="0D89C0C7" w14:textId="77777777" w:rsidR="00DC57D8" w:rsidRDefault="00000000">
      <w:pPr>
        <w:spacing w:line="600" w:lineRule="exact"/>
        <w:ind w:firstLineChars="200" w:firstLine="640"/>
        <w:rPr>
          <w:rFonts w:ascii="仿宋" w:eastAsia="仿宋" w:hAnsi="仿宋"/>
          <w:color w:val="000000" w:themeColor="text1"/>
          <w:sz w:val="32"/>
          <w:szCs w:val="32"/>
        </w:rPr>
      </w:pPr>
      <w:r>
        <w:rPr>
          <w:rStyle w:val="ac"/>
          <w:rFonts w:ascii="仿宋" w:eastAsia="仿宋" w:hAnsi="仿宋" w:hint="eastAsia"/>
          <w:b w:val="0"/>
          <w:color w:val="000000" w:themeColor="text1"/>
          <w:sz w:val="32"/>
          <w:szCs w:val="32"/>
        </w:rPr>
        <w:t>9、社会保障和就业（类）行政事业单位养老支出（款）</w:t>
      </w:r>
      <w:r>
        <w:rPr>
          <w:rStyle w:val="ac"/>
          <w:rFonts w:ascii="仿宋" w:eastAsia="仿宋" w:hAnsi="仿宋" w:hint="eastAsia"/>
          <w:b w:val="0"/>
          <w:color w:val="000000" w:themeColor="text1"/>
          <w:sz w:val="32"/>
          <w:szCs w:val="32"/>
        </w:rPr>
        <w:lastRenderedPageBreak/>
        <w:t>事业单位离退休（项）</w:t>
      </w:r>
      <w:r>
        <w:rPr>
          <w:rStyle w:val="ac"/>
          <w:rFonts w:ascii="仿宋" w:eastAsia="仿宋" w:hAnsi="仿宋"/>
          <w:b w:val="0"/>
          <w:color w:val="000000" w:themeColor="text1"/>
          <w:sz w:val="32"/>
          <w:szCs w:val="32"/>
        </w:rPr>
        <w:t xml:space="preserve">: </w:t>
      </w:r>
      <w:r>
        <w:rPr>
          <w:rStyle w:val="ac"/>
          <w:rFonts w:ascii="仿宋" w:eastAsia="仿宋" w:hAnsi="仿宋" w:hint="eastAsia"/>
          <w:b w:val="0"/>
          <w:color w:val="000000"/>
          <w:sz w:val="32"/>
          <w:szCs w:val="32"/>
        </w:rPr>
        <w:t>指事业单位离退休人员的支出</w:t>
      </w:r>
      <w:r>
        <w:rPr>
          <w:rStyle w:val="ac"/>
          <w:rFonts w:ascii="仿宋" w:eastAsia="仿宋" w:hAnsi="仿宋" w:hint="eastAsia"/>
          <w:b w:val="0"/>
          <w:color w:val="000000" w:themeColor="text1"/>
          <w:sz w:val="32"/>
          <w:szCs w:val="32"/>
        </w:rPr>
        <w:t>。</w:t>
      </w:r>
    </w:p>
    <w:p w14:paraId="78B54CE2"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10、社会保障和就业（类）行政事业单位养老支出（款）机关事业单位基本养老保险缴费支出（项）: </w:t>
      </w:r>
      <w:r>
        <w:rPr>
          <w:rStyle w:val="ac"/>
          <w:rFonts w:ascii="仿宋" w:eastAsia="仿宋" w:hAnsi="仿宋" w:cs="仿宋" w:hint="eastAsia"/>
          <w:b w:val="0"/>
          <w:color w:val="000000"/>
          <w:sz w:val="32"/>
          <w:szCs w:val="32"/>
        </w:rPr>
        <w:t>指部门实施养老保险制度由单位缴纳的养老保险费的支出</w:t>
      </w:r>
      <w:r>
        <w:rPr>
          <w:rStyle w:val="ac"/>
          <w:rFonts w:ascii="仿宋" w:eastAsia="仿宋" w:hAnsi="仿宋" w:cs="仿宋" w:hint="eastAsia"/>
          <w:b w:val="0"/>
          <w:color w:val="000000" w:themeColor="text1"/>
          <w:sz w:val="32"/>
          <w:szCs w:val="32"/>
        </w:rPr>
        <w:t>。</w:t>
      </w:r>
    </w:p>
    <w:p w14:paraId="5E537BF3"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11、社会保障和就业（类）行政事业单位养老支出（款）机关事业单位职业年级缴费支出（项）: </w:t>
      </w:r>
      <w:r>
        <w:rPr>
          <w:rStyle w:val="ac"/>
          <w:rFonts w:ascii="仿宋" w:eastAsia="仿宋" w:hAnsi="仿宋" w:cs="仿宋" w:hint="eastAsia"/>
          <w:b w:val="0"/>
          <w:color w:val="000000"/>
          <w:sz w:val="32"/>
          <w:szCs w:val="32"/>
        </w:rPr>
        <w:t>指部门实施养老保险制度由单位缴纳的职业年金的支出</w:t>
      </w:r>
      <w:r>
        <w:rPr>
          <w:rStyle w:val="ac"/>
          <w:rFonts w:ascii="仿宋" w:eastAsia="仿宋" w:hAnsi="仿宋" w:cs="仿宋" w:hint="eastAsia"/>
          <w:b w:val="0"/>
          <w:color w:val="000000" w:themeColor="text1"/>
          <w:sz w:val="32"/>
          <w:szCs w:val="32"/>
        </w:rPr>
        <w:t>。</w:t>
      </w:r>
    </w:p>
    <w:p w14:paraId="43C7113D"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12、社会保障和就业（类）其他社会保障和就业支出（款）其他社会保障和就业支出（项）: </w:t>
      </w:r>
      <w:r>
        <w:rPr>
          <w:rStyle w:val="ac"/>
          <w:rFonts w:ascii="仿宋" w:eastAsia="仿宋" w:hAnsi="仿宋" w:cs="仿宋" w:hint="eastAsia"/>
          <w:b w:val="0"/>
          <w:color w:val="000000"/>
          <w:sz w:val="32"/>
          <w:szCs w:val="32"/>
        </w:rPr>
        <w:t>指除上述项目外，其他用于事业单位离退休方面的支出</w:t>
      </w:r>
      <w:r>
        <w:rPr>
          <w:rStyle w:val="ac"/>
          <w:rFonts w:ascii="仿宋" w:eastAsia="仿宋" w:hAnsi="仿宋" w:cs="仿宋" w:hint="eastAsia"/>
          <w:b w:val="0"/>
          <w:color w:val="000000" w:themeColor="text1"/>
          <w:sz w:val="32"/>
          <w:szCs w:val="32"/>
        </w:rPr>
        <w:t>。</w:t>
      </w:r>
    </w:p>
    <w:p w14:paraId="46ED2395"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13、卫生健康（类）行政事业单位医疗（款）事业单位医疗（项）: </w:t>
      </w:r>
      <w:r>
        <w:rPr>
          <w:rStyle w:val="ac"/>
          <w:rFonts w:ascii="仿宋" w:eastAsia="仿宋" w:hAnsi="仿宋" w:cs="仿宋" w:hint="eastAsia"/>
          <w:b w:val="0"/>
          <w:color w:val="000000"/>
          <w:sz w:val="32"/>
          <w:szCs w:val="32"/>
        </w:rPr>
        <w:t>指事业单位用于缴纳单位基本医疗保险支出</w:t>
      </w:r>
      <w:r>
        <w:rPr>
          <w:rStyle w:val="ac"/>
          <w:rFonts w:ascii="仿宋" w:eastAsia="仿宋" w:hAnsi="仿宋" w:cs="仿宋" w:hint="eastAsia"/>
          <w:b w:val="0"/>
          <w:color w:val="000000" w:themeColor="text1"/>
          <w:sz w:val="32"/>
          <w:szCs w:val="32"/>
        </w:rPr>
        <w:t>。</w:t>
      </w:r>
    </w:p>
    <w:p w14:paraId="127ADD7A"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14、节能环保（类）污染防治（款）其他污染防治支出（项）: </w:t>
      </w:r>
      <w:r>
        <w:rPr>
          <w:rStyle w:val="ac"/>
          <w:rFonts w:ascii="仿宋" w:eastAsia="仿宋" w:hAnsi="仿宋" w:cs="仿宋" w:hint="eastAsia"/>
          <w:b w:val="0"/>
          <w:color w:val="000000"/>
          <w:sz w:val="32"/>
          <w:szCs w:val="32"/>
        </w:rPr>
        <w:t>指</w:t>
      </w:r>
      <w:r>
        <w:rPr>
          <w:rFonts w:ascii="仿宋" w:eastAsia="仿宋" w:hAnsi="仿宋" w:cs="仿宋" w:hint="eastAsia"/>
          <w:color w:val="111111"/>
          <w:sz w:val="32"/>
          <w:szCs w:val="32"/>
          <w:shd w:val="clear" w:color="auto" w:fill="FFFFFF"/>
        </w:rPr>
        <w:t>反映其他用于污染防治方面的支出</w:t>
      </w:r>
      <w:r>
        <w:rPr>
          <w:rStyle w:val="ac"/>
          <w:rFonts w:ascii="仿宋" w:eastAsia="仿宋" w:hAnsi="仿宋" w:cs="仿宋" w:hint="eastAsia"/>
          <w:b w:val="0"/>
          <w:color w:val="000000" w:themeColor="text1"/>
          <w:sz w:val="32"/>
          <w:szCs w:val="32"/>
        </w:rPr>
        <w:t>。</w:t>
      </w:r>
    </w:p>
    <w:p w14:paraId="0E8F5CB4"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 xml:space="preserve">15、资源勘探工业信息等（类）资源勘探开发（款）其他资源勘探业务支出（项）: </w:t>
      </w:r>
      <w:r>
        <w:rPr>
          <w:rStyle w:val="ac"/>
          <w:rFonts w:ascii="仿宋" w:eastAsia="仿宋" w:hAnsi="仿宋" w:cs="仿宋" w:hint="eastAsia"/>
          <w:b w:val="0"/>
          <w:color w:val="000000"/>
          <w:sz w:val="32"/>
          <w:szCs w:val="32"/>
        </w:rPr>
        <w:t>指</w:t>
      </w:r>
      <w:r>
        <w:rPr>
          <w:rFonts w:ascii="仿宋" w:eastAsia="仿宋" w:hAnsi="仿宋" w:cs="仿宋" w:hint="eastAsia"/>
          <w:color w:val="000000"/>
          <w:sz w:val="32"/>
          <w:szCs w:val="32"/>
          <w:shd w:val="clear" w:color="auto" w:fill="FFFFFF"/>
        </w:rPr>
        <w:t>事业单位用于保障机构正常运行、开展日常工作的基本支出</w:t>
      </w:r>
      <w:r>
        <w:rPr>
          <w:rStyle w:val="ac"/>
          <w:rFonts w:ascii="仿宋" w:eastAsia="仿宋" w:hAnsi="仿宋" w:cs="仿宋" w:hint="eastAsia"/>
          <w:b w:val="0"/>
          <w:color w:val="000000" w:themeColor="text1"/>
          <w:sz w:val="32"/>
          <w:szCs w:val="32"/>
        </w:rPr>
        <w:t>。</w:t>
      </w:r>
    </w:p>
    <w:p w14:paraId="2CE40E87" w14:textId="77777777" w:rsidR="00DC57D8" w:rsidRDefault="00000000">
      <w:pPr>
        <w:spacing w:line="600" w:lineRule="exact"/>
        <w:ind w:firstLineChars="200" w:firstLine="640"/>
        <w:rPr>
          <w:rStyle w:val="ac"/>
          <w:rFonts w:ascii="仿宋" w:eastAsia="仿宋" w:hAnsi="仿宋" w:cs="仿宋"/>
          <w:b w:val="0"/>
          <w:color w:val="000000" w:themeColor="text1"/>
          <w:sz w:val="32"/>
          <w:szCs w:val="32"/>
        </w:rPr>
      </w:pPr>
      <w:r>
        <w:rPr>
          <w:rStyle w:val="ac"/>
          <w:rFonts w:ascii="仿宋" w:eastAsia="仿宋" w:hAnsi="仿宋" w:cs="仿宋" w:hint="eastAsia"/>
          <w:b w:val="0"/>
          <w:color w:val="000000" w:themeColor="text1"/>
          <w:sz w:val="32"/>
          <w:szCs w:val="32"/>
        </w:rPr>
        <w:t>16、</w:t>
      </w:r>
      <w:r>
        <w:rPr>
          <w:rFonts w:ascii="仿宋" w:eastAsia="仿宋" w:hAnsi="仿宋" w:cs="仿宋" w:hint="eastAsia"/>
          <w:color w:val="000000" w:themeColor="text1"/>
          <w:sz w:val="32"/>
          <w:szCs w:val="32"/>
        </w:rPr>
        <w:t>住房保障</w:t>
      </w:r>
      <w:r>
        <w:rPr>
          <w:rStyle w:val="ac"/>
          <w:rFonts w:ascii="仿宋" w:eastAsia="仿宋" w:hAnsi="仿宋" w:cs="仿宋" w:hint="eastAsia"/>
          <w:b w:val="0"/>
          <w:color w:val="000000" w:themeColor="text1"/>
          <w:sz w:val="32"/>
          <w:szCs w:val="32"/>
        </w:rPr>
        <w:t>（类）住房改革支出（款）住房公积金（项）:</w:t>
      </w:r>
      <w:r>
        <w:rPr>
          <w:rStyle w:val="ac"/>
          <w:rFonts w:ascii="仿宋" w:eastAsia="仿宋" w:hAnsi="仿宋" w:cs="仿宋" w:hint="eastAsia"/>
          <w:b w:val="0"/>
          <w:color w:val="000000"/>
          <w:sz w:val="32"/>
          <w:szCs w:val="32"/>
        </w:rPr>
        <w:t>指按照《住房公积金管理条例》的规定，由单位及其在职职工缴存的长期住房储金</w:t>
      </w:r>
      <w:r>
        <w:rPr>
          <w:rStyle w:val="ac"/>
          <w:rFonts w:ascii="仿宋" w:eastAsia="仿宋" w:hAnsi="仿宋" w:cs="仿宋" w:hint="eastAsia"/>
          <w:b w:val="0"/>
          <w:color w:val="000000" w:themeColor="text1"/>
          <w:sz w:val="32"/>
          <w:szCs w:val="32"/>
        </w:rPr>
        <w:t>。</w:t>
      </w:r>
    </w:p>
    <w:p w14:paraId="440E202B" w14:textId="77777777" w:rsidR="00DC57D8" w:rsidRDefault="00000000">
      <w:pPr>
        <w:spacing w:line="600" w:lineRule="exact"/>
        <w:ind w:firstLineChars="200" w:firstLine="640"/>
        <w:rPr>
          <w:rFonts w:ascii="仿宋" w:eastAsia="仿宋" w:hAnsi="仿宋" w:cs="仿宋"/>
          <w:color w:val="000000" w:themeColor="text1"/>
          <w:sz w:val="32"/>
          <w:szCs w:val="32"/>
        </w:rPr>
      </w:pPr>
      <w:r>
        <w:rPr>
          <w:rStyle w:val="ac"/>
          <w:rFonts w:ascii="仿宋" w:eastAsia="仿宋" w:hAnsi="仿宋" w:cs="仿宋" w:hint="eastAsia"/>
          <w:b w:val="0"/>
          <w:color w:val="000000" w:themeColor="text1"/>
          <w:sz w:val="32"/>
          <w:szCs w:val="32"/>
        </w:rPr>
        <w:t>17、</w:t>
      </w:r>
      <w:r>
        <w:rPr>
          <w:rFonts w:ascii="仿宋" w:eastAsia="仿宋" w:hAnsi="仿宋" w:cs="仿宋" w:hint="eastAsia"/>
          <w:color w:val="000000" w:themeColor="text1"/>
          <w:sz w:val="32"/>
          <w:szCs w:val="32"/>
        </w:rPr>
        <w:t>住房保障</w:t>
      </w:r>
      <w:r>
        <w:rPr>
          <w:rStyle w:val="ac"/>
          <w:rFonts w:ascii="仿宋" w:eastAsia="仿宋" w:hAnsi="仿宋" w:cs="仿宋" w:hint="eastAsia"/>
          <w:b w:val="0"/>
          <w:color w:val="000000" w:themeColor="text1"/>
          <w:sz w:val="32"/>
          <w:szCs w:val="32"/>
        </w:rPr>
        <w:t>（类）住房改革支出（款）购房补贴（项）:</w:t>
      </w:r>
      <w:r>
        <w:rPr>
          <w:rStyle w:val="ac"/>
          <w:rFonts w:ascii="仿宋" w:eastAsia="仿宋" w:hAnsi="仿宋" w:cs="仿宋" w:hint="eastAsia"/>
          <w:b w:val="0"/>
          <w:color w:val="000000"/>
          <w:sz w:val="32"/>
          <w:szCs w:val="32"/>
        </w:rPr>
        <w:t>指按房改政策规定的标准，</w:t>
      </w:r>
      <w:proofErr w:type="gramStart"/>
      <w:r>
        <w:rPr>
          <w:rStyle w:val="ac"/>
          <w:rFonts w:ascii="仿宋" w:eastAsia="仿宋" w:hAnsi="仿宋" w:cs="仿宋" w:hint="eastAsia"/>
          <w:b w:val="0"/>
          <w:color w:val="000000"/>
          <w:sz w:val="32"/>
          <w:szCs w:val="32"/>
        </w:rPr>
        <w:t>像符合</w:t>
      </w:r>
      <w:proofErr w:type="gramEnd"/>
      <w:r>
        <w:rPr>
          <w:rStyle w:val="ac"/>
          <w:rFonts w:ascii="仿宋" w:eastAsia="仿宋" w:hAnsi="仿宋" w:cs="仿宋" w:hint="eastAsia"/>
          <w:b w:val="0"/>
          <w:color w:val="000000"/>
          <w:sz w:val="32"/>
          <w:szCs w:val="32"/>
        </w:rPr>
        <w:t>条件职工发放的用于购买住房的补贴</w:t>
      </w:r>
      <w:r>
        <w:rPr>
          <w:rStyle w:val="ac"/>
          <w:rFonts w:ascii="仿宋" w:eastAsia="仿宋" w:hAnsi="仿宋" w:cs="仿宋" w:hint="eastAsia"/>
          <w:b w:val="0"/>
          <w:color w:val="000000" w:themeColor="text1"/>
          <w:sz w:val="32"/>
          <w:szCs w:val="32"/>
        </w:rPr>
        <w:t>。</w:t>
      </w:r>
    </w:p>
    <w:p w14:paraId="6CF4E444" w14:textId="77777777" w:rsidR="00DC57D8" w:rsidRDefault="00000000">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18.基本支出：指为保障机构正常运转、完成日常工作任务而发生的人员支出和公用支出。</w:t>
      </w:r>
    </w:p>
    <w:p w14:paraId="09E5EBF5" w14:textId="77777777" w:rsidR="00DC57D8" w:rsidRDefault="00000000">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19.项目支出：指在基本支出之外为完成特定行政任务和事业发展目标所发生的支出。 </w:t>
      </w:r>
    </w:p>
    <w:p w14:paraId="5499D52B" w14:textId="112D1DDF" w:rsidR="00335087" w:rsidRDefault="00000000">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20.经营支出：指事业单位在专业业务活动及其辅助活动之外开展非独立核算经营活动发生的支出。</w:t>
      </w:r>
    </w:p>
    <w:p w14:paraId="0ADFBC52" w14:textId="77777777" w:rsidR="00335087" w:rsidRDefault="00335087" w:rsidP="00335087">
      <w:pPr>
        <w:pStyle w:val="a0"/>
        <w:spacing w:before="93"/>
      </w:pPr>
      <w:r>
        <w:br w:type="page"/>
      </w:r>
    </w:p>
    <w:p w14:paraId="316D9B72" w14:textId="77777777" w:rsidR="00DC57D8" w:rsidRDefault="00000000">
      <w:pPr>
        <w:spacing w:line="600" w:lineRule="exact"/>
        <w:jc w:val="center"/>
        <w:outlineLvl w:val="0"/>
        <w:rPr>
          <w:rStyle w:val="10"/>
          <w:rFonts w:ascii="黑体" w:eastAsia="黑体" w:hAnsi="黑体" w:cs="黑体"/>
          <w:b w:val="0"/>
        </w:rPr>
      </w:pPr>
      <w:bookmarkStart w:id="81" w:name="_Toc15396614"/>
      <w:bookmarkStart w:id="82" w:name="_Toc15377226"/>
      <w:bookmarkStart w:id="83" w:name="_Toc119075196"/>
      <w:r>
        <w:rPr>
          <w:rFonts w:ascii="黑体" w:eastAsia="黑体" w:hAnsi="黑体" w:cs="黑体" w:hint="eastAsia"/>
          <w:color w:val="000000"/>
          <w:sz w:val="44"/>
          <w:szCs w:val="44"/>
        </w:rPr>
        <w:lastRenderedPageBreak/>
        <w:t>第</w:t>
      </w:r>
      <w:r>
        <w:rPr>
          <w:rStyle w:val="10"/>
          <w:rFonts w:ascii="黑体" w:eastAsia="黑体" w:hAnsi="黑体" w:cs="黑体" w:hint="eastAsia"/>
          <w:b w:val="0"/>
        </w:rPr>
        <w:t>四部分 附件</w:t>
      </w:r>
      <w:bookmarkEnd w:id="81"/>
      <w:bookmarkEnd w:id="83"/>
    </w:p>
    <w:p w14:paraId="54F12F44" w14:textId="77777777" w:rsidR="00DC57D8" w:rsidRDefault="00DC57D8">
      <w:pPr>
        <w:spacing w:line="580" w:lineRule="exact"/>
        <w:rPr>
          <w:rFonts w:ascii="仿宋" w:eastAsia="仿宋" w:hAnsi="仿宋" w:cs="仿宋"/>
          <w:sz w:val="32"/>
          <w:szCs w:val="32"/>
        </w:rPr>
      </w:pPr>
    </w:p>
    <w:p w14:paraId="43AF2F27" w14:textId="77777777" w:rsidR="00DC57D8" w:rsidRDefault="00000000">
      <w:pPr>
        <w:pStyle w:val="af0"/>
        <w:spacing w:line="580" w:lineRule="exact"/>
        <w:ind w:firstLine="883"/>
        <w:jc w:val="center"/>
        <w:rPr>
          <w:rFonts w:ascii="仿宋" w:eastAsia="仿宋" w:hAnsi="仿宋" w:cs="仿宋"/>
          <w:b/>
          <w:sz w:val="32"/>
          <w:szCs w:val="32"/>
        </w:rPr>
      </w:pPr>
      <w:bookmarkStart w:id="84" w:name="_Toc15396618"/>
      <w:r>
        <w:rPr>
          <w:rFonts w:ascii="方正小标宋简体" w:eastAsia="方正小标宋简体" w:hAnsi="宋体" w:hint="eastAsia"/>
          <w:color w:val="auto"/>
          <w:sz w:val="44"/>
          <w:szCs w:val="44"/>
        </w:rPr>
        <w:t>四川省重点行业企业用地调查项目支出绩效自评报告</w:t>
      </w:r>
    </w:p>
    <w:p w14:paraId="32B0B0C7" w14:textId="77777777" w:rsidR="00DC57D8" w:rsidRDefault="00000000">
      <w:pPr>
        <w:numPr>
          <w:ilvl w:val="0"/>
          <w:numId w:val="8"/>
        </w:numPr>
        <w:tabs>
          <w:tab w:val="left" w:pos="3885"/>
        </w:tabs>
        <w:snapToGrid w:val="0"/>
        <w:spacing w:line="60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基本情况</w:t>
      </w:r>
    </w:p>
    <w:p w14:paraId="3F7A9251" w14:textId="77777777" w:rsidR="00DC57D8" w:rsidRDefault="00000000">
      <w:pPr>
        <w:tabs>
          <w:tab w:val="left" w:pos="3885"/>
        </w:tabs>
        <w:snapToGri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（一）项目概况</w:t>
      </w:r>
    </w:p>
    <w:p w14:paraId="5C4C06F7"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14:paraId="6BB40DE4"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2018年6月7日，四川省生态环境厅下达了</w:t>
      </w:r>
      <w:proofErr w:type="gramStart"/>
      <w:r>
        <w:rPr>
          <w:rFonts w:ascii="仿宋" w:eastAsia="仿宋" w:hAnsi="仿宋" w:cs="仿宋" w:hint="eastAsia"/>
          <w:sz w:val="32"/>
          <w:szCs w:val="32"/>
        </w:rPr>
        <w:t>川环办</w:t>
      </w:r>
      <w:proofErr w:type="gramEnd"/>
      <w:r>
        <w:rPr>
          <w:rFonts w:ascii="仿宋" w:eastAsia="仿宋" w:hAnsi="仿宋" w:cs="仿宋" w:hint="eastAsia"/>
          <w:sz w:val="32"/>
          <w:szCs w:val="32"/>
        </w:rPr>
        <w:t>发〔2018〕73号关于印发《四川省重点行业企业用地调查实施方案》的通知。通知中明确了各参与部门与单位的分工和职责。样品采集、制备、保存工作由省监测总站牵头。四川省地质调查院负责完成全省待采样地块约50%的工作量，主要为内容为地下水采样井建设、土壤采样孔钻探以及水样和土样的采集。土壤无机样品初步制备由采样单位负责，地调院采集的土壤无机样品和地下水样品的测试由西南冶金地质测试所完成；土壤有机样品由四川省地质矿产勘查开发局成</w:t>
      </w:r>
      <w:r>
        <w:rPr>
          <w:rFonts w:ascii="仿宋" w:eastAsia="仿宋" w:hAnsi="仿宋" w:cs="仿宋" w:hint="eastAsia"/>
          <w:sz w:val="32"/>
          <w:szCs w:val="32"/>
        </w:rPr>
        <w:lastRenderedPageBreak/>
        <w:t>都综合岩矿测试中心（国土资源部成都矿产资源监督检测中心）完成。长期保存的土壤无机样品保存于四川省土壤</w:t>
      </w:r>
      <w:proofErr w:type="gramStart"/>
      <w:r>
        <w:rPr>
          <w:rFonts w:ascii="仿宋" w:eastAsia="仿宋" w:hAnsi="仿宋" w:cs="仿宋" w:hint="eastAsia"/>
          <w:sz w:val="32"/>
          <w:szCs w:val="32"/>
        </w:rPr>
        <w:t>样品库并统一</w:t>
      </w:r>
      <w:proofErr w:type="gramEnd"/>
      <w:r>
        <w:rPr>
          <w:rFonts w:ascii="仿宋" w:eastAsia="仿宋" w:hAnsi="仿宋" w:cs="仿宋" w:hint="eastAsia"/>
          <w:sz w:val="32"/>
          <w:szCs w:val="32"/>
        </w:rPr>
        <w:t>造册登记。市（州）、县（市、区）环境保护部门、乡镇（街道）和地块使用权人配合执行。</w:t>
      </w:r>
    </w:p>
    <w:p w14:paraId="7585CDB3"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地调院承担自贡、德阳、遂宁、乐山、资阳、宜宾、达州、阿坝、凉山、广安、巴中、眉山等12个市州的相关调查工作。</w:t>
      </w:r>
    </w:p>
    <w:p w14:paraId="29313F32" w14:textId="77777777" w:rsidR="00DC57D8" w:rsidRDefault="00000000">
      <w:pPr>
        <w:tabs>
          <w:tab w:val="left" w:pos="3885"/>
        </w:tabs>
        <w:snapToGri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（二）项目实施情况</w:t>
      </w:r>
    </w:p>
    <w:p w14:paraId="61521BAE"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地调院共完成地块数402个、工业园区26个，共428个；此外完成2个背景点样品采集。共完成钻孔数2977个，其中土壤采样孔1986个，采集土壤样（正样）5035件、平行样724样，地下水采样孔991个、采集地下水正样596件、平行样272样，工业园区26个、采集生活饮用水112件，背景点2个，采集土壤样品6件。凉山州甘洛县</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地块因地面积水，无法开展工作，其余市（州）设计地块数和工业园区数量全面完成。完成情况统计见表1-1。</w:t>
      </w:r>
    </w:p>
    <w:p w14:paraId="25FCDD18" w14:textId="77777777" w:rsidR="00DC57D8" w:rsidRDefault="00000000">
      <w:pPr>
        <w:jc w:val="center"/>
        <w:rPr>
          <w:rFonts w:ascii="仿宋" w:eastAsia="仿宋" w:hAnsi="仿宋" w:cs="仿宋"/>
          <w:sz w:val="32"/>
          <w:szCs w:val="32"/>
        </w:rPr>
      </w:pPr>
      <w:r>
        <w:rPr>
          <w:rFonts w:ascii="仿宋" w:eastAsia="仿宋" w:hAnsi="仿宋" w:cs="仿宋" w:hint="eastAsia"/>
          <w:sz w:val="32"/>
          <w:szCs w:val="32"/>
        </w:rPr>
        <w:t>表1-1  完成各市（州）地块数统计表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7"/>
        <w:gridCol w:w="1022"/>
        <w:gridCol w:w="1214"/>
        <w:gridCol w:w="1012"/>
        <w:gridCol w:w="3987"/>
      </w:tblGrid>
      <w:tr w:rsidR="00DC57D8" w14:paraId="6C790F2B" w14:textId="77777777">
        <w:trPr>
          <w:trHeight w:val="340"/>
          <w:tblHeader/>
          <w:jc w:val="center"/>
        </w:trPr>
        <w:tc>
          <w:tcPr>
            <w:tcW w:w="1127" w:type="dxa"/>
            <w:shd w:val="clear" w:color="auto" w:fill="auto"/>
            <w:vAlign w:val="center"/>
          </w:tcPr>
          <w:p w14:paraId="70BAB75C"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市（州）</w:t>
            </w:r>
          </w:p>
        </w:tc>
        <w:tc>
          <w:tcPr>
            <w:tcW w:w="1022" w:type="dxa"/>
            <w:shd w:val="clear" w:color="auto" w:fill="auto"/>
            <w:vAlign w:val="center"/>
          </w:tcPr>
          <w:p w14:paraId="461935DD"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采样地块</w:t>
            </w:r>
          </w:p>
          <w:p w14:paraId="5034396C" w14:textId="77777777" w:rsidR="00DC57D8" w:rsidRDefault="00000000">
            <w:pPr>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总数</w:t>
            </w:r>
          </w:p>
        </w:tc>
        <w:tc>
          <w:tcPr>
            <w:tcW w:w="1214" w:type="dxa"/>
            <w:shd w:val="clear" w:color="auto" w:fill="auto"/>
            <w:vAlign w:val="center"/>
          </w:tcPr>
          <w:p w14:paraId="7E8BD1C7"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进场或完成地块数</w:t>
            </w:r>
          </w:p>
        </w:tc>
        <w:tc>
          <w:tcPr>
            <w:tcW w:w="1012" w:type="dxa"/>
            <w:shd w:val="clear" w:color="auto" w:fill="auto"/>
            <w:vAlign w:val="center"/>
          </w:tcPr>
          <w:p w14:paraId="54FBAE8F"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完成率</w:t>
            </w:r>
          </w:p>
        </w:tc>
        <w:tc>
          <w:tcPr>
            <w:tcW w:w="3987" w:type="dxa"/>
            <w:shd w:val="clear" w:color="auto" w:fill="auto"/>
            <w:vAlign w:val="center"/>
          </w:tcPr>
          <w:p w14:paraId="56649A1C" w14:textId="77777777" w:rsidR="00DC57D8" w:rsidRDefault="00000000">
            <w:pPr>
              <w:widowControl/>
              <w:jc w:val="center"/>
              <w:rPr>
                <w:rFonts w:ascii="仿宋" w:eastAsia="仿宋" w:hAnsi="仿宋" w:cs="仿宋"/>
                <w:color w:val="000000"/>
                <w:kern w:val="0"/>
                <w:sz w:val="32"/>
                <w:szCs w:val="32"/>
              </w:rPr>
            </w:pPr>
            <w:proofErr w:type="gramStart"/>
            <w:r>
              <w:rPr>
                <w:rFonts w:ascii="仿宋" w:eastAsia="仿宋" w:hAnsi="仿宋" w:cs="仿宋" w:hint="eastAsia"/>
                <w:color w:val="000000"/>
                <w:kern w:val="0"/>
                <w:sz w:val="32"/>
                <w:szCs w:val="32"/>
              </w:rPr>
              <w:t>采样组</w:t>
            </w:r>
            <w:proofErr w:type="gramEnd"/>
            <w:r>
              <w:rPr>
                <w:rFonts w:ascii="仿宋" w:eastAsia="仿宋" w:hAnsi="仿宋" w:cs="仿宋" w:hint="eastAsia"/>
                <w:color w:val="000000"/>
                <w:kern w:val="0"/>
                <w:sz w:val="32"/>
                <w:szCs w:val="32"/>
              </w:rPr>
              <w:t>及单位</w:t>
            </w:r>
          </w:p>
        </w:tc>
      </w:tr>
      <w:tr w:rsidR="00DC57D8" w14:paraId="63598E19" w14:textId="77777777">
        <w:trPr>
          <w:trHeight w:val="340"/>
          <w:jc w:val="center"/>
        </w:trPr>
        <w:tc>
          <w:tcPr>
            <w:tcW w:w="1127" w:type="dxa"/>
            <w:shd w:val="clear" w:color="auto" w:fill="auto"/>
            <w:vAlign w:val="center"/>
          </w:tcPr>
          <w:p w14:paraId="7B47CD25"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德阳市</w:t>
            </w:r>
          </w:p>
        </w:tc>
        <w:tc>
          <w:tcPr>
            <w:tcW w:w="1022" w:type="dxa"/>
            <w:shd w:val="clear" w:color="auto" w:fill="auto"/>
            <w:vAlign w:val="center"/>
          </w:tcPr>
          <w:p w14:paraId="0C95ED45"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99</w:t>
            </w:r>
          </w:p>
        </w:tc>
        <w:tc>
          <w:tcPr>
            <w:tcW w:w="1214" w:type="dxa"/>
            <w:shd w:val="clear" w:color="auto" w:fill="auto"/>
            <w:vAlign w:val="center"/>
          </w:tcPr>
          <w:p w14:paraId="6EBC2809"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99</w:t>
            </w:r>
          </w:p>
        </w:tc>
        <w:tc>
          <w:tcPr>
            <w:tcW w:w="1012" w:type="dxa"/>
            <w:shd w:val="clear" w:color="auto" w:fill="auto"/>
            <w:vAlign w:val="center"/>
          </w:tcPr>
          <w:p w14:paraId="4358D569"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41FFE59A"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1（地调院）、2（地调院）、3（地调院）、5（区</w:t>
            </w:r>
            <w:r>
              <w:rPr>
                <w:rFonts w:ascii="仿宋" w:eastAsia="仿宋" w:hAnsi="仿宋" w:cs="仿宋" w:hint="eastAsia"/>
                <w:color w:val="000000"/>
                <w:kern w:val="0"/>
                <w:sz w:val="32"/>
                <w:szCs w:val="32"/>
              </w:rPr>
              <w:lastRenderedPageBreak/>
              <w:t>调队）、9（化探队）、10（物探队）、</w:t>
            </w:r>
          </w:p>
          <w:p w14:paraId="1118113A"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11（华地）、13（404队）、16（地调院）</w:t>
            </w:r>
          </w:p>
        </w:tc>
      </w:tr>
      <w:tr w:rsidR="00DC57D8" w14:paraId="276831E8" w14:textId="77777777">
        <w:trPr>
          <w:trHeight w:val="340"/>
          <w:jc w:val="center"/>
        </w:trPr>
        <w:tc>
          <w:tcPr>
            <w:tcW w:w="1127" w:type="dxa"/>
            <w:shd w:val="clear" w:color="auto" w:fill="auto"/>
            <w:vAlign w:val="center"/>
          </w:tcPr>
          <w:p w14:paraId="7DAD3F7A"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巴中市</w:t>
            </w:r>
          </w:p>
        </w:tc>
        <w:tc>
          <w:tcPr>
            <w:tcW w:w="1022" w:type="dxa"/>
            <w:shd w:val="clear" w:color="auto" w:fill="auto"/>
            <w:vAlign w:val="center"/>
          </w:tcPr>
          <w:p w14:paraId="7A6928D2"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w:t>
            </w:r>
          </w:p>
        </w:tc>
        <w:tc>
          <w:tcPr>
            <w:tcW w:w="1214" w:type="dxa"/>
            <w:shd w:val="clear" w:color="auto" w:fill="auto"/>
            <w:vAlign w:val="center"/>
          </w:tcPr>
          <w:p w14:paraId="2F500A15"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9</w:t>
            </w:r>
          </w:p>
        </w:tc>
        <w:tc>
          <w:tcPr>
            <w:tcW w:w="1012" w:type="dxa"/>
            <w:shd w:val="clear" w:color="auto" w:fill="auto"/>
            <w:vAlign w:val="center"/>
          </w:tcPr>
          <w:p w14:paraId="2C9FA2F8"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033BC7AF"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10（物探队）、9（化探队）</w:t>
            </w:r>
          </w:p>
        </w:tc>
      </w:tr>
      <w:tr w:rsidR="00DC57D8" w14:paraId="21CF3506" w14:textId="77777777">
        <w:trPr>
          <w:trHeight w:val="340"/>
          <w:jc w:val="center"/>
        </w:trPr>
        <w:tc>
          <w:tcPr>
            <w:tcW w:w="1127" w:type="dxa"/>
            <w:shd w:val="clear" w:color="auto" w:fill="auto"/>
            <w:vAlign w:val="center"/>
          </w:tcPr>
          <w:p w14:paraId="634F6700"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达州市</w:t>
            </w:r>
          </w:p>
        </w:tc>
        <w:tc>
          <w:tcPr>
            <w:tcW w:w="1022" w:type="dxa"/>
            <w:shd w:val="clear" w:color="auto" w:fill="auto"/>
            <w:vAlign w:val="center"/>
          </w:tcPr>
          <w:p w14:paraId="782F540C"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30</w:t>
            </w:r>
          </w:p>
        </w:tc>
        <w:tc>
          <w:tcPr>
            <w:tcW w:w="1214" w:type="dxa"/>
            <w:shd w:val="clear" w:color="auto" w:fill="auto"/>
            <w:vAlign w:val="center"/>
          </w:tcPr>
          <w:p w14:paraId="4AB84386"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30</w:t>
            </w:r>
          </w:p>
        </w:tc>
        <w:tc>
          <w:tcPr>
            <w:tcW w:w="1012" w:type="dxa"/>
            <w:shd w:val="clear" w:color="auto" w:fill="auto"/>
            <w:vAlign w:val="center"/>
          </w:tcPr>
          <w:p w14:paraId="1A034C91"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0B9D04D6"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5(区调队）、4（地调院）、10（物探队）</w:t>
            </w:r>
          </w:p>
        </w:tc>
      </w:tr>
      <w:tr w:rsidR="00DC57D8" w14:paraId="451DF5EF" w14:textId="77777777">
        <w:trPr>
          <w:trHeight w:val="340"/>
          <w:jc w:val="center"/>
        </w:trPr>
        <w:tc>
          <w:tcPr>
            <w:tcW w:w="1127" w:type="dxa"/>
            <w:shd w:val="clear" w:color="auto" w:fill="auto"/>
            <w:vAlign w:val="center"/>
          </w:tcPr>
          <w:p w14:paraId="2531F243"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广安市</w:t>
            </w:r>
          </w:p>
        </w:tc>
        <w:tc>
          <w:tcPr>
            <w:tcW w:w="1022" w:type="dxa"/>
            <w:shd w:val="clear" w:color="auto" w:fill="auto"/>
            <w:vAlign w:val="center"/>
          </w:tcPr>
          <w:p w14:paraId="0827A7F8"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15</w:t>
            </w:r>
          </w:p>
        </w:tc>
        <w:tc>
          <w:tcPr>
            <w:tcW w:w="1214" w:type="dxa"/>
            <w:shd w:val="clear" w:color="auto" w:fill="auto"/>
            <w:vAlign w:val="center"/>
          </w:tcPr>
          <w:p w14:paraId="74638E56"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15</w:t>
            </w:r>
          </w:p>
        </w:tc>
        <w:tc>
          <w:tcPr>
            <w:tcW w:w="1012" w:type="dxa"/>
            <w:shd w:val="clear" w:color="auto" w:fill="auto"/>
            <w:vAlign w:val="center"/>
          </w:tcPr>
          <w:p w14:paraId="2A5870C1"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1DEA6B2A"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4（地调院）</w:t>
            </w:r>
          </w:p>
        </w:tc>
      </w:tr>
      <w:tr w:rsidR="00DC57D8" w14:paraId="7DC0E17E" w14:textId="77777777">
        <w:trPr>
          <w:trHeight w:val="340"/>
          <w:jc w:val="center"/>
        </w:trPr>
        <w:tc>
          <w:tcPr>
            <w:tcW w:w="1127" w:type="dxa"/>
            <w:shd w:val="clear" w:color="auto" w:fill="auto"/>
            <w:vAlign w:val="center"/>
          </w:tcPr>
          <w:p w14:paraId="2970BD33"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遂宁市</w:t>
            </w:r>
          </w:p>
        </w:tc>
        <w:tc>
          <w:tcPr>
            <w:tcW w:w="1022" w:type="dxa"/>
            <w:shd w:val="clear" w:color="auto" w:fill="auto"/>
            <w:vAlign w:val="center"/>
          </w:tcPr>
          <w:p w14:paraId="65170C2A"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23</w:t>
            </w:r>
          </w:p>
        </w:tc>
        <w:tc>
          <w:tcPr>
            <w:tcW w:w="1214" w:type="dxa"/>
            <w:shd w:val="clear" w:color="auto" w:fill="auto"/>
            <w:vAlign w:val="center"/>
          </w:tcPr>
          <w:p w14:paraId="403AA1C4"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23</w:t>
            </w:r>
          </w:p>
        </w:tc>
        <w:tc>
          <w:tcPr>
            <w:tcW w:w="1012" w:type="dxa"/>
            <w:shd w:val="clear" w:color="auto" w:fill="auto"/>
            <w:vAlign w:val="center"/>
          </w:tcPr>
          <w:p w14:paraId="245CB55F"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13A6B6D6"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10(物探队）、9（化探队）、4（地调院）</w:t>
            </w:r>
          </w:p>
        </w:tc>
      </w:tr>
      <w:tr w:rsidR="00DC57D8" w14:paraId="536E9CCF" w14:textId="77777777">
        <w:trPr>
          <w:trHeight w:val="340"/>
          <w:jc w:val="center"/>
        </w:trPr>
        <w:tc>
          <w:tcPr>
            <w:tcW w:w="1127" w:type="dxa"/>
            <w:shd w:val="clear" w:color="auto" w:fill="auto"/>
            <w:vAlign w:val="center"/>
          </w:tcPr>
          <w:p w14:paraId="6B978FFD"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资阳市</w:t>
            </w:r>
          </w:p>
        </w:tc>
        <w:tc>
          <w:tcPr>
            <w:tcW w:w="1022" w:type="dxa"/>
            <w:shd w:val="clear" w:color="auto" w:fill="auto"/>
            <w:vAlign w:val="center"/>
          </w:tcPr>
          <w:p w14:paraId="307BC86F"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p>
        </w:tc>
        <w:tc>
          <w:tcPr>
            <w:tcW w:w="1214" w:type="dxa"/>
            <w:shd w:val="clear" w:color="auto" w:fill="auto"/>
            <w:vAlign w:val="center"/>
          </w:tcPr>
          <w:p w14:paraId="17C516FB"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8</w:t>
            </w:r>
          </w:p>
        </w:tc>
        <w:tc>
          <w:tcPr>
            <w:tcW w:w="1012" w:type="dxa"/>
            <w:shd w:val="clear" w:color="auto" w:fill="auto"/>
            <w:vAlign w:val="center"/>
          </w:tcPr>
          <w:p w14:paraId="7F0F47B0"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083E2719"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4（地调院）</w:t>
            </w:r>
          </w:p>
        </w:tc>
      </w:tr>
      <w:tr w:rsidR="00DC57D8" w14:paraId="322019AB" w14:textId="77777777">
        <w:trPr>
          <w:trHeight w:val="340"/>
          <w:jc w:val="center"/>
        </w:trPr>
        <w:tc>
          <w:tcPr>
            <w:tcW w:w="1127" w:type="dxa"/>
            <w:shd w:val="clear" w:color="auto" w:fill="auto"/>
            <w:vAlign w:val="center"/>
          </w:tcPr>
          <w:p w14:paraId="558289EA"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眉山市</w:t>
            </w:r>
          </w:p>
        </w:tc>
        <w:tc>
          <w:tcPr>
            <w:tcW w:w="1022" w:type="dxa"/>
            <w:shd w:val="clear" w:color="auto" w:fill="auto"/>
            <w:vAlign w:val="center"/>
          </w:tcPr>
          <w:p w14:paraId="0BF1B23F"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44</w:t>
            </w:r>
          </w:p>
        </w:tc>
        <w:tc>
          <w:tcPr>
            <w:tcW w:w="1214" w:type="dxa"/>
            <w:shd w:val="clear" w:color="auto" w:fill="auto"/>
            <w:vAlign w:val="center"/>
          </w:tcPr>
          <w:p w14:paraId="524FE55D"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44</w:t>
            </w:r>
          </w:p>
        </w:tc>
        <w:tc>
          <w:tcPr>
            <w:tcW w:w="1012" w:type="dxa"/>
            <w:shd w:val="clear" w:color="auto" w:fill="auto"/>
            <w:vAlign w:val="center"/>
          </w:tcPr>
          <w:p w14:paraId="5E1F0FC1"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68AC3953"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13（404队）、14（404队）、15（404队）、3（地调院）</w:t>
            </w:r>
          </w:p>
        </w:tc>
      </w:tr>
      <w:tr w:rsidR="00DC57D8" w14:paraId="53535CC2" w14:textId="77777777">
        <w:trPr>
          <w:trHeight w:val="340"/>
          <w:jc w:val="center"/>
        </w:trPr>
        <w:tc>
          <w:tcPr>
            <w:tcW w:w="1127" w:type="dxa"/>
            <w:shd w:val="clear" w:color="auto" w:fill="auto"/>
            <w:vAlign w:val="center"/>
          </w:tcPr>
          <w:p w14:paraId="148579E9"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乐山市</w:t>
            </w:r>
          </w:p>
        </w:tc>
        <w:tc>
          <w:tcPr>
            <w:tcW w:w="1022" w:type="dxa"/>
            <w:shd w:val="clear" w:color="auto" w:fill="auto"/>
            <w:vAlign w:val="center"/>
          </w:tcPr>
          <w:p w14:paraId="5FA28961"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40</w:t>
            </w:r>
          </w:p>
        </w:tc>
        <w:tc>
          <w:tcPr>
            <w:tcW w:w="1214" w:type="dxa"/>
            <w:shd w:val="clear" w:color="auto" w:fill="auto"/>
            <w:vAlign w:val="center"/>
          </w:tcPr>
          <w:p w14:paraId="797D2EBE"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40</w:t>
            </w:r>
          </w:p>
        </w:tc>
        <w:tc>
          <w:tcPr>
            <w:tcW w:w="1012" w:type="dxa"/>
            <w:shd w:val="clear" w:color="auto" w:fill="auto"/>
            <w:vAlign w:val="center"/>
          </w:tcPr>
          <w:p w14:paraId="52772D6D"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411698EC"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1（地调院）、2（地调院）、</w:t>
            </w:r>
          </w:p>
          <w:p w14:paraId="1AF565E9"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3（地调院）、16（地调院）、12（华地）</w:t>
            </w:r>
          </w:p>
        </w:tc>
      </w:tr>
      <w:tr w:rsidR="00DC57D8" w14:paraId="4F1A8E62" w14:textId="77777777">
        <w:trPr>
          <w:trHeight w:val="340"/>
          <w:jc w:val="center"/>
        </w:trPr>
        <w:tc>
          <w:tcPr>
            <w:tcW w:w="1127" w:type="dxa"/>
            <w:shd w:val="clear" w:color="auto" w:fill="auto"/>
            <w:vAlign w:val="center"/>
          </w:tcPr>
          <w:p w14:paraId="401A5266"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自贡市</w:t>
            </w:r>
          </w:p>
        </w:tc>
        <w:tc>
          <w:tcPr>
            <w:tcW w:w="1022" w:type="dxa"/>
            <w:shd w:val="clear" w:color="auto" w:fill="auto"/>
            <w:vAlign w:val="center"/>
          </w:tcPr>
          <w:p w14:paraId="4CD7D750"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53</w:t>
            </w:r>
          </w:p>
        </w:tc>
        <w:tc>
          <w:tcPr>
            <w:tcW w:w="1214" w:type="dxa"/>
            <w:shd w:val="clear" w:color="auto" w:fill="auto"/>
            <w:vAlign w:val="center"/>
          </w:tcPr>
          <w:p w14:paraId="0F6C041D"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53</w:t>
            </w:r>
          </w:p>
        </w:tc>
        <w:tc>
          <w:tcPr>
            <w:tcW w:w="1012" w:type="dxa"/>
            <w:shd w:val="clear" w:color="auto" w:fill="auto"/>
            <w:vAlign w:val="center"/>
          </w:tcPr>
          <w:p w14:paraId="3DE67D2A"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4E5C89AD"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6（地调院）、11（华地）、12（华地）</w:t>
            </w:r>
          </w:p>
        </w:tc>
      </w:tr>
      <w:tr w:rsidR="00DC57D8" w14:paraId="184791DE" w14:textId="77777777">
        <w:trPr>
          <w:trHeight w:val="340"/>
          <w:jc w:val="center"/>
        </w:trPr>
        <w:tc>
          <w:tcPr>
            <w:tcW w:w="1127" w:type="dxa"/>
            <w:shd w:val="clear" w:color="auto" w:fill="auto"/>
            <w:vAlign w:val="center"/>
          </w:tcPr>
          <w:p w14:paraId="48D52BF4"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宜宾市</w:t>
            </w:r>
          </w:p>
        </w:tc>
        <w:tc>
          <w:tcPr>
            <w:tcW w:w="1022" w:type="dxa"/>
            <w:shd w:val="clear" w:color="auto" w:fill="auto"/>
            <w:vAlign w:val="center"/>
          </w:tcPr>
          <w:p w14:paraId="35040E20"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31</w:t>
            </w:r>
          </w:p>
        </w:tc>
        <w:tc>
          <w:tcPr>
            <w:tcW w:w="1214" w:type="dxa"/>
            <w:shd w:val="clear" w:color="auto" w:fill="auto"/>
            <w:vAlign w:val="center"/>
          </w:tcPr>
          <w:p w14:paraId="779EBD56"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31</w:t>
            </w:r>
          </w:p>
        </w:tc>
        <w:tc>
          <w:tcPr>
            <w:tcW w:w="1012" w:type="dxa"/>
            <w:shd w:val="clear" w:color="auto" w:fill="auto"/>
            <w:vAlign w:val="center"/>
          </w:tcPr>
          <w:p w14:paraId="1FD272AC" w14:textId="77777777" w:rsidR="00DC57D8" w:rsidRDefault="00000000">
            <w:pPr>
              <w:jc w:val="center"/>
              <w:rPr>
                <w:rFonts w:ascii="仿宋" w:eastAsia="仿宋" w:hAnsi="仿宋" w:cs="仿宋"/>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6785EFA6"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6（地调院）、7（109队）、9（化探队）、2（地调院）</w:t>
            </w:r>
          </w:p>
        </w:tc>
      </w:tr>
      <w:tr w:rsidR="00DC57D8" w14:paraId="47D22A97" w14:textId="77777777">
        <w:trPr>
          <w:trHeight w:val="340"/>
          <w:jc w:val="center"/>
        </w:trPr>
        <w:tc>
          <w:tcPr>
            <w:tcW w:w="1127" w:type="dxa"/>
            <w:shd w:val="clear" w:color="auto" w:fill="auto"/>
            <w:vAlign w:val="center"/>
          </w:tcPr>
          <w:p w14:paraId="0CB3ADF8"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凉山州</w:t>
            </w:r>
          </w:p>
        </w:tc>
        <w:tc>
          <w:tcPr>
            <w:tcW w:w="1022" w:type="dxa"/>
            <w:shd w:val="clear" w:color="auto" w:fill="auto"/>
            <w:vAlign w:val="center"/>
          </w:tcPr>
          <w:p w14:paraId="6425BF09"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67</w:t>
            </w:r>
          </w:p>
        </w:tc>
        <w:tc>
          <w:tcPr>
            <w:tcW w:w="1214" w:type="dxa"/>
            <w:shd w:val="clear" w:color="auto" w:fill="auto"/>
            <w:vAlign w:val="center"/>
          </w:tcPr>
          <w:p w14:paraId="171EA21A"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66</w:t>
            </w:r>
          </w:p>
        </w:tc>
        <w:tc>
          <w:tcPr>
            <w:tcW w:w="1012" w:type="dxa"/>
            <w:shd w:val="clear" w:color="auto" w:fill="auto"/>
            <w:vAlign w:val="center"/>
          </w:tcPr>
          <w:p w14:paraId="0D3D6D28"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98.51%</w:t>
            </w:r>
          </w:p>
        </w:tc>
        <w:tc>
          <w:tcPr>
            <w:tcW w:w="3987" w:type="dxa"/>
            <w:shd w:val="clear" w:color="auto" w:fill="auto"/>
            <w:vAlign w:val="center"/>
          </w:tcPr>
          <w:p w14:paraId="0891435E"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17（攀西队）、18（攀西队）、20（攀西队）</w:t>
            </w:r>
          </w:p>
        </w:tc>
      </w:tr>
      <w:tr w:rsidR="00DC57D8" w14:paraId="4EC217EA" w14:textId="77777777">
        <w:trPr>
          <w:trHeight w:val="340"/>
          <w:jc w:val="center"/>
        </w:trPr>
        <w:tc>
          <w:tcPr>
            <w:tcW w:w="1127" w:type="dxa"/>
            <w:shd w:val="clear" w:color="auto" w:fill="auto"/>
            <w:vAlign w:val="center"/>
          </w:tcPr>
          <w:p w14:paraId="64B8BA98"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阿坝州</w:t>
            </w:r>
          </w:p>
        </w:tc>
        <w:tc>
          <w:tcPr>
            <w:tcW w:w="1022" w:type="dxa"/>
            <w:shd w:val="clear" w:color="auto" w:fill="auto"/>
            <w:vAlign w:val="center"/>
          </w:tcPr>
          <w:p w14:paraId="1DDB4DF6"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w:t>
            </w:r>
          </w:p>
        </w:tc>
        <w:tc>
          <w:tcPr>
            <w:tcW w:w="1214" w:type="dxa"/>
            <w:shd w:val="clear" w:color="auto" w:fill="auto"/>
            <w:vAlign w:val="center"/>
          </w:tcPr>
          <w:p w14:paraId="014A89B2" w14:textId="77777777" w:rsidR="00DC57D8" w:rsidRDefault="00000000">
            <w:pPr>
              <w:jc w:val="center"/>
              <w:rPr>
                <w:rFonts w:ascii="仿宋" w:eastAsia="仿宋" w:hAnsi="仿宋" w:cs="仿宋"/>
                <w:bCs/>
                <w:color w:val="000000"/>
                <w:sz w:val="32"/>
                <w:szCs w:val="32"/>
              </w:rPr>
            </w:pPr>
            <w:r>
              <w:rPr>
                <w:rFonts w:ascii="仿宋" w:eastAsia="仿宋" w:hAnsi="仿宋" w:cs="仿宋" w:hint="eastAsia"/>
                <w:bCs/>
                <w:color w:val="000000"/>
                <w:sz w:val="32"/>
                <w:szCs w:val="32"/>
              </w:rPr>
              <w:t>10</w:t>
            </w:r>
          </w:p>
        </w:tc>
        <w:tc>
          <w:tcPr>
            <w:tcW w:w="1012" w:type="dxa"/>
            <w:shd w:val="clear" w:color="auto" w:fill="auto"/>
            <w:vAlign w:val="center"/>
          </w:tcPr>
          <w:p w14:paraId="23913567"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100%</w:t>
            </w:r>
          </w:p>
        </w:tc>
        <w:tc>
          <w:tcPr>
            <w:tcW w:w="3987" w:type="dxa"/>
            <w:shd w:val="clear" w:color="auto" w:fill="auto"/>
            <w:vAlign w:val="center"/>
          </w:tcPr>
          <w:p w14:paraId="14BA6BB1"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3（地调院）</w:t>
            </w:r>
          </w:p>
        </w:tc>
      </w:tr>
      <w:tr w:rsidR="00DC57D8" w14:paraId="002DED97" w14:textId="77777777">
        <w:trPr>
          <w:trHeight w:val="340"/>
          <w:jc w:val="center"/>
        </w:trPr>
        <w:tc>
          <w:tcPr>
            <w:tcW w:w="1127" w:type="dxa"/>
            <w:shd w:val="clear" w:color="auto" w:fill="auto"/>
            <w:vAlign w:val="center"/>
          </w:tcPr>
          <w:p w14:paraId="071C4D75"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合计</w:t>
            </w:r>
          </w:p>
        </w:tc>
        <w:tc>
          <w:tcPr>
            <w:tcW w:w="1022" w:type="dxa"/>
            <w:shd w:val="clear" w:color="auto" w:fill="auto"/>
            <w:vAlign w:val="center"/>
          </w:tcPr>
          <w:p w14:paraId="63D42A6A"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429</w:t>
            </w:r>
          </w:p>
        </w:tc>
        <w:tc>
          <w:tcPr>
            <w:tcW w:w="1214" w:type="dxa"/>
            <w:shd w:val="clear" w:color="auto" w:fill="auto"/>
            <w:vAlign w:val="center"/>
          </w:tcPr>
          <w:p w14:paraId="5D6C0517"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428</w:t>
            </w:r>
          </w:p>
        </w:tc>
        <w:tc>
          <w:tcPr>
            <w:tcW w:w="1012" w:type="dxa"/>
            <w:shd w:val="clear" w:color="auto" w:fill="auto"/>
            <w:vAlign w:val="center"/>
          </w:tcPr>
          <w:p w14:paraId="140C225E" w14:textId="77777777" w:rsidR="00DC57D8" w:rsidRDefault="0000000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99.77%</w:t>
            </w:r>
          </w:p>
        </w:tc>
        <w:tc>
          <w:tcPr>
            <w:tcW w:w="3987" w:type="dxa"/>
            <w:shd w:val="clear" w:color="auto" w:fill="auto"/>
            <w:vAlign w:val="center"/>
          </w:tcPr>
          <w:p w14:paraId="308F2FEA" w14:textId="77777777" w:rsidR="00DC57D8" w:rsidRDefault="00000000">
            <w:pPr>
              <w:widowControl/>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注：甘洛县</w:t>
            </w:r>
            <w:proofErr w:type="gramStart"/>
            <w:r>
              <w:rPr>
                <w:rFonts w:ascii="仿宋" w:eastAsia="仿宋" w:hAnsi="仿宋" w:cs="仿宋" w:hint="eastAsia"/>
                <w:color w:val="000000"/>
                <w:kern w:val="0"/>
                <w:sz w:val="32"/>
                <w:szCs w:val="32"/>
              </w:rPr>
              <w:t>一</w:t>
            </w:r>
            <w:proofErr w:type="gramEnd"/>
            <w:r>
              <w:rPr>
                <w:rFonts w:ascii="仿宋" w:eastAsia="仿宋" w:hAnsi="仿宋" w:cs="仿宋" w:hint="eastAsia"/>
                <w:color w:val="000000"/>
                <w:kern w:val="0"/>
                <w:sz w:val="32"/>
                <w:szCs w:val="32"/>
              </w:rPr>
              <w:t>地块因地面积水无法开展工作</w:t>
            </w:r>
          </w:p>
        </w:tc>
      </w:tr>
    </w:tbl>
    <w:p w14:paraId="7D007B90" w14:textId="77777777" w:rsidR="00DC57D8" w:rsidRDefault="00DC57D8">
      <w:pPr>
        <w:tabs>
          <w:tab w:val="left" w:pos="3885"/>
        </w:tabs>
        <w:snapToGrid w:val="0"/>
        <w:spacing w:line="600" w:lineRule="exact"/>
        <w:ind w:firstLineChars="200" w:firstLine="640"/>
        <w:jc w:val="left"/>
        <w:rPr>
          <w:rFonts w:ascii="仿宋" w:eastAsia="仿宋" w:hAnsi="仿宋" w:cs="仿宋"/>
          <w:sz w:val="32"/>
          <w:szCs w:val="32"/>
        </w:rPr>
      </w:pPr>
    </w:p>
    <w:p w14:paraId="16914EFC" w14:textId="77777777" w:rsidR="00DC57D8" w:rsidRDefault="00000000">
      <w:pPr>
        <w:tabs>
          <w:tab w:val="left" w:pos="3885"/>
        </w:tabs>
        <w:snapToGri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（三）资金投入使用情况</w:t>
      </w:r>
    </w:p>
    <w:p w14:paraId="5F8FCB39"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该项目经费为四川省财政资金，项目总经费为1125万元，截止目前所有野外采样工作已结束，已下达的经费已全部投入项目运行。支付依据合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合法，资金支付与预算相符。</w:t>
      </w:r>
    </w:p>
    <w:p w14:paraId="2A7433F5" w14:textId="77777777" w:rsidR="00DC57D8" w:rsidRDefault="00000000">
      <w:pPr>
        <w:tabs>
          <w:tab w:val="left" w:pos="3885"/>
        </w:tabs>
        <w:snapToGrid w:val="0"/>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（四）项目绩效目标</w:t>
      </w:r>
    </w:p>
    <w:p w14:paraId="46FA0735"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受四川省生态环境厅委托，四川省地质调查院承担403个地块，26个化工园区和2个土壤背景点的采样任务，约占全省总任务量的52%，主要内容为地下水采样井建设、土壤</w:t>
      </w:r>
      <w:r>
        <w:rPr>
          <w:rFonts w:ascii="仿宋" w:eastAsia="仿宋" w:hAnsi="仿宋" w:cs="仿宋" w:hint="eastAsia"/>
          <w:sz w:val="32"/>
          <w:szCs w:val="32"/>
        </w:rPr>
        <w:lastRenderedPageBreak/>
        <w:t>采样孔钻探以及水样和土样的采集。</w:t>
      </w:r>
    </w:p>
    <w:p w14:paraId="00F367DB"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总体目标：2020年底前掌握四川省重点行业企业用地中污染地块的分布及其环境风险情况。调查成果有效支撑重点行业企业用地污染防治和风险管控，严控新增土壤污染，防范人居环境风险。</w:t>
      </w:r>
    </w:p>
    <w:p w14:paraId="14E3E9BE"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具体目标：建立全省有色金属矿采选、有色金属冶炼、石油开采、石油加工、化工、农药、焦化、电镀、制革等重点行业企业用地疑似污染地块清单、污染地块清单和优先管控名录。</w:t>
      </w:r>
    </w:p>
    <w:p w14:paraId="068AE5CF" w14:textId="77777777" w:rsidR="00DC57D8" w:rsidRDefault="00000000">
      <w:pPr>
        <w:snapToGrid w:val="0"/>
        <w:spacing w:line="600" w:lineRule="exact"/>
        <w:ind w:firstLineChars="200" w:firstLine="640"/>
        <w:rPr>
          <w:rFonts w:ascii="黑体" w:eastAsia="黑体" w:hAnsi="黑体" w:cs="黑体"/>
          <w:sz w:val="32"/>
          <w:szCs w:val="32"/>
        </w:rPr>
      </w:pPr>
      <w:r>
        <w:rPr>
          <w:rFonts w:ascii="仿宋" w:eastAsia="仿宋" w:hAnsi="仿宋" w:cs="仿宋" w:hint="eastAsia"/>
          <w:sz w:val="32"/>
          <w:szCs w:val="32"/>
        </w:rPr>
        <w:t>二、</w:t>
      </w:r>
      <w:r>
        <w:rPr>
          <w:rFonts w:ascii="黑体" w:eastAsia="黑体" w:hAnsi="黑体" w:cs="黑体" w:hint="eastAsia"/>
          <w:sz w:val="32"/>
          <w:szCs w:val="32"/>
        </w:rPr>
        <w:t>评价工作开展情况</w:t>
      </w:r>
    </w:p>
    <w:p w14:paraId="199EF5A1"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我单位具有完善的质量管理体系，获得质量管理体系（GB∕T19001―2008∕ISO9001:2008)、环境管理体系（GB∕T24001―2004∕ISO14001:2004)、职业健康安全管理体系(GB∕T28001―2011∕OHSAS18001:2007) “三体系”认证。本次工作，严格执行“三体系”管理以及“重点行业企业用地土壤污染状况调查”相关技术及质量管理文件，建立了我院的项目组织机构，由项目领导小组、管理小组和</w:t>
      </w:r>
      <w:proofErr w:type="gramStart"/>
      <w:r>
        <w:rPr>
          <w:rFonts w:ascii="仿宋" w:eastAsia="仿宋" w:hAnsi="仿宋" w:cs="仿宋" w:hint="eastAsia"/>
          <w:sz w:val="32"/>
          <w:szCs w:val="32"/>
        </w:rPr>
        <w:t>质控</w:t>
      </w:r>
      <w:proofErr w:type="gramEnd"/>
      <w:r>
        <w:rPr>
          <w:rFonts w:ascii="仿宋" w:eastAsia="仿宋" w:hAnsi="仿宋" w:cs="仿宋" w:hint="eastAsia"/>
          <w:sz w:val="32"/>
          <w:szCs w:val="32"/>
        </w:rPr>
        <w:t>小组进行组织、协调、管理及质量监控，充分保障质量、环境和职业健康，顺利完成该项任务。</w:t>
      </w:r>
    </w:p>
    <w:p w14:paraId="0241DEE5"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（一）组织机构</w:t>
      </w:r>
    </w:p>
    <w:p w14:paraId="3410B845"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按照《质控技术规定》，本单位属于采样单位内部质量控制（以下简称“内审”）。为加强项目管理，保证项目工作顺利开展，保质保量按期完成项目工作，四川省地质调查</w:t>
      </w:r>
      <w:r>
        <w:rPr>
          <w:rFonts w:ascii="仿宋" w:eastAsia="仿宋" w:hAnsi="仿宋" w:cs="仿宋" w:hint="eastAsia"/>
          <w:sz w:val="32"/>
          <w:szCs w:val="32"/>
        </w:rPr>
        <w:lastRenderedPageBreak/>
        <w:t>院经研究，决定成立院项目领导小组，并于2020年4月1日正式发文。项目领导小组下设：项目管理小组、项目质控小组。项目管理小组：负责项目具体管理、组织、实施；项目质</w:t>
      </w:r>
      <w:proofErr w:type="gramStart"/>
      <w:r>
        <w:rPr>
          <w:rFonts w:ascii="仿宋" w:eastAsia="仿宋" w:hAnsi="仿宋" w:cs="仿宋" w:hint="eastAsia"/>
          <w:sz w:val="32"/>
          <w:szCs w:val="32"/>
        </w:rPr>
        <w:t>控小组</w:t>
      </w:r>
      <w:proofErr w:type="gramEnd"/>
      <w:r>
        <w:rPr>
          <w:rFonts w:ascii="仿宋" w:eastAsia="仿宋" w:hAnsi="仿宋" w:cs="仿宋" w:hint="eastAsia"/>
          <w:sz w:val="32"/>
          <w:szCs w:val="32"/>
        </w:rPr>
        <w:t>负责项目质量管理、质量监控。</w:t>
      </w:r>
    </w:p>
    <w:p w14:paraId="0079EC54"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（1）项目领导小组：统一组织、协调、管理</w:t>
      </w:r>
    </w:p>
    <w:p w14:paraId="606BF64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组长：赵</w:t>
      </w:r>
      <w:proofErr w:type="gramStart"/>
      <w:r>
        <w:rPr>
          <w:rFonts w:ascii="仿宋" w:eastAsia="仿宋" w:hAnsi="仿宋" w:cs="仿宋" w:hint="eastAsia"/>
          <w:sz w:val="32"/>
          <w:szCs w:val="32"/>
        </w:rPr>
        <w:t>春左乾华</w:t>
      </w:r>
      <w:proofErr w:type="gramEnd"/>
    </w:p>
    <w:p w14:paraId="28D47E0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副组长：</w:t>
      </w:r>
      <w:proofErr w:type="gramStart"/>
      <w:r>
        <w:rPr>
          <w:rFonts w:ascii="仿宋" w:eastAsia="仿宋" w:hAnsi="仿宋" w:cs="仿宋" w:hint="eastAsia"/>
          <w:sz w:val="32"/>
          <w:szCs w:val="32"/>
        </w:rPr>
        <w:t>秦宇龙</w:t>
      </w:r>
      <w:proofErr w:type="gramEnd"/>
      <w:r>
        <w:rPr>
          <w:rFonts w:ascii="仿宋" w:eastAsia="仿宋" w:hAnsi="仿宋" w:cs="仿宋" w:hint="eastAsia"/>
          <w:sz w:val="32"/>
          <w:szCs w:val="32"/>
        </w:rPr>
        <w:t>金立新</w:t>
      </w:r>
    </w:p>
    <w:p w14:paraId="7AF42AB5"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成员：赵松江</w:t>
      </w:r>
      <w:proofErr w:type="gramStart"/>
      <w:r>
        <w:rPr>
          <w:rFonts w:ascii="仿宋" w:eastAsia="仿宋" w:hAnsi="仿宋" w:cs="仿宋" w:hint="eastAsia"/>
          <w:sz w:val="32"/>
          <w:szCs w:val="32"/>
        </w:rPr>
        <w:t>唐文春范勇何永建</w:t>
      </w:r>
      <w:proofErr w:type="gramEnd"/>
      <w:r>
        <w:rPr>
          <w:rFonts w:ascii="仿宋" w:eastAsia="仿宋" w:hAnsi="仿宋" w:cs="仿宋" w:hint="eastAsia"/>
          <w:sz w:val="32"/>
          <w:szCs w:val="32"/>
        </w:rPr>
        <w:t>杨昌银王兆成谢恩顺</w:t>
      </w:r>
    </w:p>
    <w:p w14:paraId="0417633C"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领导小组下设：项目管理小组和项目质控小组</w:t>
      </w:r>
    </w:p>
    <w:p w14:paraId="1046A37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（2）项目管理小组：负责项目具体管理、组织、实施。</w:t>
      </w:r>
    </w:p>
    <w:p w14:paraId="00FA5F62"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组长：金立新</w:t>
      </w:r>
    </w:p>
    <w:p w14:paraId="2029E0D6"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副组长：时章亮</w:t>
      </w:r>
    </w:p>
    <w:p w14:paraId="01A327FF"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成员：梁峻珲孙柠黄安虎</w:t>
      </w:r>
      <w:proofErr w:type="gramStart"/>
      <w:r>
        <w:rPr>
          <w:rFonts w:ascii="仿宋" w:eastAsia="仿宋" w:hAnsi="仿宋" w:cs="仿宋" w:hint="eastAsia"/>
          <w:sz w:val="32"/>
          <w:szCs w:val="32"/>
        </w:rPr>
        <w:t>任延鹏</w:t>
      </w:r>
      <w:proofErr w:type="gramEnd"/>
      <w:r>
        <w:rPr>
          <w:rFonts w:ascii="仿宋" w:eastAsia="仿宋" w:hAnsi="仿宋" w:cs="仿宋" w:hint="eastAsia"/>
          <w:sz w:val="32"/>
          <w:szCs w:val="32"/>
        </w:rPr>
        <w:t>唐程卢智何明龙</w:t>
      </w:r>
    </w:p>
    <w:p w14:paraId="6B420DB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（3）项目质控小组：负责项目质量管理、质量监控。</w:t>
      </w:r>
    </w:p>
    <w:p w14:paraId="6015A7F2"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组长：李忠惠</w:t>
      </w:r>
    </w:p>
    <w:p w14:paraId="39D8D6FD"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副组长：胡朝云刘应平</w:t>
      </w:r>
    </w:p>
    <w:p w14:paraId="4EBC8D36"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成员：王玉婷周雪梅李鸿雁喻成</w:t>
      </w:r>
      <w:proofErr w:type="gramStart"/>
      <w:r>
        <w:rPr>
          <w:rFonts w:ascii="仿宋" w:eastAsia="仿宋" w:hAnsi="仿宋" w:cs="仿宋" w:hint="eastAsia"/>
          <w:sz w:val="32"/>
          <w:szCs w:val="32"/>
        </w:rPr>
        <w:t>燕包雨函毛郁</w:t>
      </w:r>
      <w:proofErr w:type="gramEnd"/>
      <w:r>
        <w:rPr>
          <w:rFonts w:ascii="仿宋" w:eastAsia="仿宋" w:hAnsi="仿宋" w:cs="仿宋" w:hint="eastAsia"/>
          <w:sz w:val="32"/>
          <w:szCs w:val="32"/>
        </w:rPr>
        <w:t>，各采样小组内审员</w:t>
      </w:r>
    </w:p>
    <w:p w14:paraId="328240A3"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（二）执行的方法技术文件</w:t>
      </w:r>
    </w:p>
    <w:p w14:paraId="49F675E5"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做好重点行业企业用地土壤污染状况调查（以下简称企业用地调查）样品采集保存和流转质量控制（以下简称采样质控）质量管理工作，严格执行以下技术规定，并及时参考不同时期生态环境部下发的第一期—第六期问题解答等</w:t>
      </w:r>
      <w:r>
        <w:rPr>
          <w:rFonts w:ascii="仿宋" w:eastAsia="仿宋" w:hAnsi="仿宋" w:cs="仿宋" w:hint="eastAsia"/>
          <w:sz w:val="32"/>
          <w:szCs w:val="32"/>
        </w:rPr>
        <w:lastRenderedPageBreak/>
        <w:t>文件，对项目实行全过程的技术质量监控、指导，确保每一个技术环节合理、规范。</w:t>
      </w:r>
    </w:p>
    <w:p w14:paraId="0F15B360"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1．《重点行业企业用地调查样品采集保存和流转技术规定（试行）》”（以下简称《采样技术规定》）。</w:t>
      </w:r>
    </w:p>
    <w:p w14:paraId="4E8F33E7"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2．《重点行业企业用地调查质量保证与质量控制技术规定（试行）》（以下简称《质控技术规定》）</w:t>
      </w:r>
    </w:p>
    <w:p w14:paraId="66C71070"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3．《重点行业企业用地土壤污染状况调查样品采集保存和流转质量控制工作手册》</w:t>
      </w:r>
    </w:p>
    <w:p w14:paraId="7DCE8BA0"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4．《重点行业企业用地土壤污染状况调查常见问题解答2020年》第一期至第六期。</w:t>
      </w:r>
    </w:p>
    <w:p w14:paraId="77CF6B63"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（三）质控工作机制</w:t>
      </w:r>
    </w:p>
    <w:p w14:paraId="6B57B551"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构建了内部采样小组</w:t>
      </w:r>
      <w:proofErr w:type="gramStart"/>
      <w:r>
        <w:rPr>
          <w:rFonts w:ascii="仿宋" w:eastAsia="仿宋" w:hAnsi="仿宋" w:cs="仿宋" w:hint="eastAsia"/>
          <w:sz w:val="32"/>
          <w:szCs w:val="32"/>
        </w:rPr>
        <w:t>—质控小组</w:t>
      </w:r>
      <w:proofErr w:type="gramEnd"/>
      <w:r>
        <w:rPr>
          <w:rFonts w:ascii="仿宋" w:eastAsia="仿宋" w:hAnsi="仿宋" w:cs="仿宋" w:hint="eastAsia"/>
          <w:sz w:val="32"/>
          <w:szCs w:val="32"/>
        </w:rPr>
        <w:t>两级质量管理体系，搭建了采样小组—地调院（技术组、质控组）—省质控办的沟通桥梁。质</w:t>
      </w:r>
      <w:proofErr w:type="gramStart"/>
      <w:r>
        <w:rPr>
          <w:rFonts w:ascii="仿宋" w:eastAsia="仿宋" w:hAnsi="仿宋" w:cs="仿宋" w:hint="eastAsia"/>
          <w:sz w:val="32"/>
          <w:szCs w:val="32"/>
        </w:rPr>
        <w:t>控小组</w:t>
      </w:r>
      <w:proofErr w:type="gramEnd"/>
      <w:r>
        <w:rPr>
          <w:rFonts w:ascii="仿宋" w:eastAsia="仿宋" w:hAnsi="仿宋" w:cs="仿宋" w:hint="eastAsia"/>
          <w:sz w:val="32"/>
          <w:szCs w:val="32"/>
        </w:rPr>
        <w:t>发现问题及时向技术负责人汇报，同时与采样小组沟通，反馈现场和资料检查中存在的问题，以减少问题的发生，保障采样工作质量，促进工作进度。同时及时向项目管理小组或领导小组反馈项目工作质量与进度，以便于项目领导小组统一组织、协调、管理。</w:t>
      </w:r>
    </w:p>
    <w:p w14:paraId="1ED3C41D"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（四）质控计划</w:t>
      </w:r>
    </w:p>
    <w:p w14:paraId="3D173E5D"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1、采样小组质控</w:t>
      </w:r>
    </w:p>
    <w:p w14:paraId="3FC0479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各采样小组内审员现场100%质控；在手持终端机上提交资料前，对资料进行100%复核，然后再提交。</w:t>
      </w:r>
    </w:p>
    <w:p w14:paraId="4E87ECA2"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2、院级质</w:t>
      </w:r>
      <w:proofErr w:type="gramStart"/>
      <w:r>
        <w:rPr>
          <w:rFonts w:ascii="仿宋" w:eastAsia="仿宋" w:hAnsi="仿宋" w:cs="仿宋" w:hint="eastAsia"/>
          <w:sz w:val="32"/>
          <w:szCs w:val="32"/>
        </w:rPr>
        <w:t>控小组质</w:t>
      </w:r>
      <w:proofErr w:type="gramEnd"/>
      <w:r>
        <w:rPr>
          <w:rFonts w:ascii="仿宋" w:eastAsia="仿宋" w:hAnsi="仿宋" w:cs="仿宋" w:hint="eastAsia"/>
          <w:sz w:val="32"/>
          <w:szCs w:val="32"/>
        </w:rPr>
        <w:t>控</w:t>
      </w:r>
    </w:p>
    <w:p w14:paraId="4F8DEF32"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院级质</w:t>
      </w:r>
      <w:proofErr w:type="gramStart"/>
      <w:r>
        <w:rPr>
          <w:rFonts w:ascii="仿宋" w:eastAsia="仿宋" w:hAnsi="仿宋" w:cs="仿宋" w:hint="eastAsia"/>
          <w:sz w:val="32"/>
          <w:szCs w:val="32"/>
        </w:rPr>
        <w:t>控小组</w:t>
      </w:r>
      <w:proofErr w:type="gramEnd"/>
      <w:r>
        <w:rPr>
          <w:rFonts w:ascii="仿宋" w:eastAsia="仿宋" w:hAnsi="仿宋" w:cs="仿宋" w:hint="eastAsia"/>
          <w:sz w:val="32"/>
          <w:szCs w:val="32"/>
        </w:rPr>
        <w:t>由李忠惠、胡朝云、刘应平、周雪梅、李鸿雁、王玉婷6人组成。</w:t>
      </w:r>
    </w:p>
    <w:p w14:paraId="131E4408"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现场质控：计划由院级质</w:t>
      </w:r>
      <w:proofErr w:type="gramStart"/>
      <w:r>
        <w:rPr>
          <w:rFonts w:ascii="仿宋" w:eastAsia="仿宋" w:hAnsi="仿宋" w:cs="仿宋" w:hint="eastAsia"/>
          <w:sz w:val="32"/>
          <w:szCs w:val="32"/>
        </w:rPr>
        <w:t>控小组</w:t>
      </w:r>
      <w:proofErr w:type="gramEnd"/>
      <w:r>
        <w:rPr>
          <w:rFonts w:ascii="仿宋" w:eastAsia="仿宋" w:hAnsi="仿宋" w:cs="仿宋" w:hint="eastAsia"/>
          <w:sz w:val="32"/>
          <w:szCs w:val="32"/>
        </w:rPr>
        <w:t>抽查总地块数的10%，尽量覆盖每个市（州）1-2个地块，同时覆盖每个采样小组。特别是启动的前三个地块，要进行100%的质控。计划每个采样小组的第一个地块进行全过程的跟踪检查，以确保采样质量符合技术规定。同时也规范统一相关技术要求，让初次开展该项工作的采样小组熟悉整个流程。</w:t>
      </w:r>
    </w:p>
    <w:p w14:paraId="0B24ABD8"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资料质控：计划由院级质</w:t>
      </w:r>
      <w:proofErr w:type="gramStart"/>
      <w:r>
        <w:rPr>
          <w:rFonts w:ascii="仿宋" w:eastAsia="仿宋" w:hAnsi="仿宋" w:cs="仿宋" w:hint="eastAsia"/>
          <w:sz w:val="32"/>
          <w:szCs w:val="32"/>
        </w:rPr>
        <w:t>控小组</w:t>
      </w:r>
      <w:proofErr w:type="gramEnd"/>
      <w:r>
        <w:rPr>
          <w:rFonts w:ascii="仿宋" w:eastAsia="仿宋" w:hAnsi="仿宋" w:cs="仿宋" w:hint="eastAsia"/>
          <w:sz w:val="32"/>
          <w:szCs w:val="32"/>
        </w:rPr>
        <w:t>在“重点行业企业用地调查信息系统”中进行100%资料质控。</w:t>
      </w:r>
    </w:p>
    <w:p w14:paraId="18E13525"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3、省级或国家级质控</w:t>
      </w:r>
    </w:p>
    <w:p w14:paraId="12C07E59"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及时将省级或国家级现场及资料检查的整改意见，通知采样小组整改，复核形成闭环。</w:t>
      </w:r>
    </w:p>
    <w:p w14:paraId="7DBBCEC1"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（五）监督检查程序</w:t>
      </w:r>
    </w:p>
    <w:p w14:paraId="28F7CBAF"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1．每个采样小组配备一名内审员，对本采样小组的全部采样点位开展现场检查和资料检查。现场内审员与采样小组同步进场，对全部采样点位开展全过程检查；对资料检查现场内审员重点检查信息系统中上</w:t>
      </w:r>
      <w:proofErr w:type="gramStart"/>
      <w:r>
        <w:rPr>
          <w:rFonts w:ascii="仿宋" w:eastAsia="仿宋" w:hAnsi="仿宋" w:cs="仿宋" w:hint="eastAsia"/>
          <w:sz w:val="32"/>
          <w:szCs w:val="32"/>
        </w:rPr>
        <w:t>传资料</w:t>
      </w:r>
      <w:proofErr w:type="gramEnd"/>
      <w:r>
        <w:rPr>
          <w:rFonts w:ascii="仿宋" w:eastAsia="仿宋" w:hAnsi="仿宋" w:cs="仿宋" w:hint="eastAsia"/>
          <w:sz w:val="32"/>
          <w:szCs w:val="32"/>
        </w:rPr>
        <w:t>的完整性、规范性、与实际情况的一致性，确保可支撑内部及外审资料检查。</w:t>
      </w:r>
    </w:p>
    <w:p w14:paraId="454DBEEF"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2．现场检查发现的质量问题应及时反馈（填写附表 1、 2），监督整改并做好问题整改记录（填写附表 3）。</w:t>
      </w:r>
    </w:p>
    <w:p w14:paraId="52A29FCE"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3．通过手持终端对采样过程各环节进行拍照记录（照片显示经纬度和时间），并将采样记录单、内</w:t>
      </w:r>
      <w:proofErr w:type="gramStart"/>
      <w:r>
        <w:rPr>
          <w:rFonts w:ascii="仿宋" w:eastAsia="仿宋" w:hAnsi="仿宋" w:cs="仿宋" w:hint="eastAsia"/>
          <w:sz w:val="32"/>
          <w:szCs w:val="32"/>
        </w:rPr>
        <w:t>审检查</w:t>
      </w:r>
      <w:proofErr w:type="gramEnd"/>
      <w:r>
        <w:rPr>
          <w:rFonts w:ascii="仿宋" w:eastAsia="仿宋" w:hAnsi="仿宋" w:cs="仿宋" w:hint="eastAsia"/>
          <w:sz w:val="32"/>
          <w:szCs w:val="32"/>
        </w:rPr>
        <w:t>记录表单</w:t>
      </w:r>
      <w:r>
        <w:rPr>
          <w:rFonts w:ascii="仿宋" w:eastAsia="仿宋" w:hAnsi="仿宋" w:cs="仿宋" w:hint="eastAsia"/>
          <w:sz w:val="32"/>
          <w:szCs w:val="32"/>
        </w:rPr>
        <w:lastRenderedPageBreak/>
        <w:t>（附表 1-3）拍照上传，确保可支撑外审资料检查。</w:t>
      </w:r>
    </w:p>
    <w:p w14:paraId="43D97887"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4．地块全部采样点均通过内</w:t>
      </w:r>
      <w:proofErr w:type="gramStart"/>
      <w:r>
        <w:rPr>
          <w:rFonts w:ascii="仿宋" w:eastAsia="仿宋" w:hAnsi="仿宋" w:cs="仿宋" w:hint="eastAsia"/>
          <w:sz w:val="32"/>
          <w:szCs w:val="32"/>
        </w:rPr>
        <w:t>审现场</w:t>
      </w:r>
      <w:proofErr w:type="gramEnd"/>
      <w:r>
        <w:rPr>
          <w:rFonts w:ascii="仿宋" w:eastAsia="仿宋" w:hAnsi="仿宋" w:cs="仿宋" w:hint="eastAsia"/>
          <w:sz w:val="32"/>
          <w:szCs w:val="32"/>
        </w:rPr>
        <w:t>检查和资料检查后方能允许采样工作组撤场。</w:t>
      </w:r>
    </w:p>
    <w:p w14:paraId="08F1B2F4"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（六）质</w:t>
      </w:r>
      <w:proofErr w:type="gramStart"/>
      <w:r>
        <w:rPr>
          <w:rFonts w:ascii="仿宋" w:eastAsia="仿宋" w:hAnsi="仿宋" w:cs="仿宋" w:hint="eastAsia"/>
          <w:sz w:val="32"/>
          <w:szCs w:val="32"/>
        </w:rPr>
        <w:t>控内容</w:t>
      </w:r>
      <w:proofErr w:type="gramEnd"/>
      <w:r>
        <w:rPr>
          <w:rFonts w:ascii="仿宋" w:eastAsia="仿宋" w:hAnsi="仿宋" w:cs="仿宋" w:hint="eastAsia"/>
          <w:sz w:val="32"/>
          <w:szCs w:val="32"/>
        </w:rPr>
        <w:t>及质量评价</w:t>
      </w:r>
    </w:p>
    <w:p w14:paraId="3B6B014C"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内审人员根据《布点技术规定》《采样技术规定》和《质控技术规定》的相关要求，按照采样质</w:t>
      </w:r>
      <w:proofErr w:type="gramStart"/>
      <w:r>
        <w:rPr>
          <w:rFonts w:ascii="仿宋" w:eastAsia="仿宋" w:hAnsi="仿宋" w:cs="仿宋" w:hint="eastAsia"/>
          <w:sz w:val="32"/>
          <w:szCs w:val="32"/>
        </w:rPr>
        <w:t>控检查</w:t>
      </w:r>
      <w:proofErr w:type="gramEnd"/>
      <w:r>
        <w:rPr>
          <w:rFonts w:ascii="仿宋" w:eastAsia="仿宋" w:hAnsi="仿宋" w:cs="仿宋" w:hint="eastAsia"/>
          <w:sz w:val="32"/>
          <w:szCs w:val="32"/>
        </w:rPr>
        <w:t>记录表（《质控技术规定》附表1）的检查项目和检查要点，开展采样准备和采样过程的质量检查，检查结果记录于《质控技术规定》附表1，并上传信息系统。</w:t>
      </w:r>
    </w:p>
    <w:p w14:paraId="131DA577"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1、采样准备质量检查</w:t>
      </w:r>
    </w:p>
    <w:p w14:paraId="73618C6F"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检查布点方案是否满足《布点技术规定》和《重点行业企业用地调查疑似污染地块布点采样方案审核工作手册（试行）》的要求，且通过专家评审。</w:t>
      </w:r>
    </w:p>
    <w:p w14:paraId="00558619"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2、采样过程质量检查</w:t>
      </w:r>
    </w:p>
    <w:p w14:paraId="6C0625A7"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检查采样点的位置是否与布点方案一致，如存在位置调整，检查调整原因和调整后位置依据是否合理，且经过方案编制单位和地块使用权人的认可，并报送质控单位。</w:t>
      </w:r>
      <w:proofErr w:type="gramStart"/>
      <w:r>
        <w:rPr>
          <w:rFonts w:ascii="仿宋" w:eastAsia="仿宋" w:hAnsi="仿宋" w:cs="仿宋" w:hint="eastAsia"/>
          <w:sz w:val="32"/>
          <w:szCs w:val="32"/>
        </w:rPr>
        <w:t>检查土孔钻探</w:t>
      </w:r>
      <w:proofErr w:type="gramEnd"/>
      <w:r>
        <w:rPr>
          <w:rFonts w:ascii="仿宋" w:eastAsia="仿宋" w:hAnsi="仿宋" w:cs="仿宋" w:hint="eastAsia"/>
          <w:sz w:val="32"/>
          <w:szCs w:val="32"/>
        </w:rPr>
        <w:t>、地下水采样井建设、土壤样品采集与保存、地下水样品采集与保存、样品运送与接收等采样过程全部环节（以下简称采样过程全环节）是否合格。</w:t>
      </w:r>
    </w:p>
    <w:p w14:paraId="42DF56D4"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对照重点行业企业用地调查采样手持终端（以下简称手持终端）或信息系统，检查“土壤钻孔采样记录单”“成井记录单”“地下水采样井洗井记录单”“地下水采样记录单”</w:t>
      </w:r>
      <w:r>
        <w:rPr>
          <w:rFonts w:ascii="仿宋" w:eastAsia="仿宋" w:hAnsi="仿宋" w:cs="仿宋" w:hint="eastAsia"/>
          <w:sz w:val="32"/>
          <w:szCs w:val="32"/>
        </w:rPr>
        <w:lastRenderedPageBreak/>
        <w:t>“样品保存检查记录单”和“样品运送单”（以下统称采样记录单）中标*项（必填项）是否填写完整、规范，现场检查时还应检查与实际情况的一致性。</w:t>
      </w:r>
    </w:p>
    <w:p w14:paraId="0D12DF1B"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3．采样质量评价</w:t>
      </w:r>
    </w:p>
    <w:p w14:paraId="2805CB5A"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采样质量评价以采样点为对象，按环节进行检查。每一环节细分不同的检查项目及检查要点（详见《质控技术规定》附表1）。</w:t>
      </w:r>
    </w:p>
    <w:p w14:paraId="01570C8C"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检查时，每一环节存在任</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检查项目的检查要点不满足要求，则判定该环节不合格；采样点任</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检查环节不合格，即认为该采样点存在严重质量问题。严重质量问题外的其他质量问题，均为一般质量问题。</w:t>
      </w:r>
    </w:p>
    <w:p w14:paraId="038909F7"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当信息系统内资料无法满足</w:t>
      </w:r>
      <w:proofErr w:type="gramStart"/>
      <w:r>
        <w:rPr>
          <w:rFonts w:ascii="仿宋" w:eastAsia="仿宋" w:hAnsi="仿宋" w:cs="仿宋" w:hint="eastAsia"/>
          <w:sz w:val="32"/>
          <w:szCs w:val="32"/>
        </w:rPr>
        <w:t>某检查</w:t>
      </w:r>
      <w:proofErr w:type="gramEnd"/>
      <w:r>
        <w:rPr>
          <w:rFonts w:ascii="仿宋" w:eastAsia="仿宋" w:hAnsi="仿宋" w:cs="仿宋" w:hint="eastAsia"/>
          <w:sz w:val="32"/>
          <w:szCs w:val="32"/>
        </w:rPr>
        <w:t>项目资料检查要求时，可判定该检查项目不合格。样品接收环节的合格性判定基于</w:t>
      </w:r>
      <w:proofErr w:type="gramStart"/>
      <w:r>
        <w:rPr>
          <w:rFonts w:ascii="仿宋" w:eastAsia="仿宋" w:hAnsi="仿宋" w:cs="仿宋" w:hint="eastAsia"/>
          <w:sz w:val="32"/>
          <w:szCs w:val="32"/>
        </w:rPr>
        <w:t>接样单位接样</w:t>
      </w:r>
      <w:proofErr w:type="gramEnd"/>
      <w:r>
        <w:rPr>
          <w:rFonts w:ascii="仿宋" w:eastAsia="仿宋" w:hAnsi="仿宋" w:cs="仿宋" w:hint="eastAsia"/>
          <w:sz w:val="32"/>
          <w:szCs w:val="32"/>
        </w:rPr>
        <w:t>与否来确定。</w:t>
      </w:r>
    </w:p>
    <w:p w14:paraId="3B4FF790"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不合格的判定应有 2 名（含）以上同级质量检查人员的认可。当判定为不合格时，可给予采样单位一次申诉及补充资料的机会。</w:t>
      </w:r>
    </w:p>
    <w:p w14:paraId="05D92272"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同一级别的质量检查，如资料检查与现场检查同时覆盖一个地块，原则上应以质量问题严重的判定结果为准。</w:t>
      </w:r>
    </w:p>
    <w:p w14:paraId="760B1C71" w14:textId="77777777" w:rsidR="00DC57D8" w:rsidRDefault="00000000">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三、综合评价结论（附评分表）</w:t>
      </w:r>
    </w:p>
    <w:p w14:paraId="234F21A0"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按照质控技术规定中“采样质量评价”判定原则上，我院承担的402个地块，内部现场质控，每一环节均判定为“合格”，无不合格现象出现。内部资料质控，发现</w:t>
      </w:r>
      <w:proofErr w:type="gramStart"/>
      <w:r>
        <w:rPr>
          <w:rFonts w:ascii="仿宋" w:eastAsia="仿宋" w:hAnsi="仿宋" w:cs="仿宋" w:hint="eastAsia"/>
          <w:sz w:val="32"/>
          <w:szCs w:val="32"/>
        </w:rPr>
        <w:t>4个孔因土</w:t>
      </w:r>
      <w:r>
        <w:rPr>
          <w:rFonts w:ascii="仿宋" w:eastAsia="仿宋" w:hAnsi="仿宋" w:cs="仿宋" w:hint="eastAsia"/>
          <w:sz w:val="32"/>
          <w:szCs w:val="32"/>
        </w:rPr>
        <w:lastRenderedPageBreak/>
        <w:t>壤样品漏采一层</w:t>
      </w:r>
      <w:proofErr w:type="gramEnd"/>
      <w:r>
        <w:rPr>
          <w:rFonts w:ascii="仿宋" w:eastAsia="仿宋" w:hAnsi="仿宋" w:cs="仿宋" w:hint="eastAsia"/>
          <w:sz w:val="32"/>
          <w:szCs w:val="32"/>
        </w:rPr>
        <w:t>（1个）、平行</w:t>
      </w:r>
      <w:proofErr w:type="gramStart"/>
      <w:r>
        <w:rPr>
          <w:rFonts w:ascii="仿宋" w:eastAsia="仿宋" w:hAnsi="仿宋" w:cs="仿宋" w:hint="eastAsia"/>
          <w:sz w:val="32"/>
          <w:szCs w:val="32"/>
        </w:rPr>
        <w:t>样勾选错误</w:t>
      </w:r>
      <w:proofErr w:type="gramEnd"/>
      <w:r>
        <w:rPr>
          <w:rFonts w:ascii="仿宋" w:eastAsia="仿宋" w:hAnsi="仿宋" w:cs="仿宋" w:hint="eastAsia"/>
          <w:sz w:val="32"/>
          <w:szCs w:val="32"/>
        </w:rPr>
        <w:t>（3个）判定为严重问题。样品接收环节因样品时效过期（5个）、</w:t>
      </w:r>
      <w:proofErr w:type="gramStart"/>
      <w:r>
        <w:rPr>
          <w:rFonts w:ascii="仿宋" w:eastAsia="仿宋" w:hAnsi="仿宋" w:cs="仿宋" w:hint="eastAsia"/>
          <w:sz w:val="32"/>
          <w:szCs w:val="32"/>
        </w:rPr>
        <w:t>收样时</w:t>
      </w:r>
      <w:proofErr w:type="gramEnd"/>
      <w:r>
        <w:rPr>
          <w:rFonts w:ascii="仿宋" w:eastAsia="仿宋" w:hAnsi="仿宋" w:cs="仿宋" w:hint="eastAsia"/>
          <w:sz w:val="32"/>
          <w:szCs w:val="32"/>
        </w:rPr>
        <w:t>发现瓶子破裂（3个）、忘记加全程空白样（2个），由实验室</w:t>
      </w:r>
      <w:proofErr w:type="gramStart"/>
      <w:r>
        <w:rPr>
          <w:rFonts w:ascii="仿宋" w:eastAsia="仿宋" w:hAnsi="仿宋" w:cs="仿宋" w:hint="eastAsia"/>
          <w:sz w:val="32"/>
          <w:szCs w:val="32"/>
        </w:rPr>
        <w:t>收样前或收样</w:t>
      </w:r>
      <w:proofErr w:type="gramEnd"/>
      <w:r>
        <w:rPr>
          <w:rFonts w:ascii="仿宋" w:eastAsia="仿宋" w:hAnsi="仿宋" w:cs="仿宋" w:hint="eastAsia"/>
          <w:sz w:val="32"/>
          <w:szCs w:val="32"/>
        </w:rPr>
        <w:t>后退回</w:t>
      </w:r>
      <w:proofErr w:type="gramStart"/>
      <w:r>
        <w:rPr>
          <w:rFonts w:ascii="仿宋" w:eastAsia="仿宋" w:hAnsi="仿宋" w:cs="仿宋" w:hint="eastAsia"/>
          <w:sz w:val="32"/>
          <w:szCs w:val="32"/>
        </w:rPr>
        <w:t>重采</w:t>
      </w:r>
      <w:proofErr w:type="gramEnd"/>
      <w:r>
        <w:rPr>
          <w:rFonts w:ascii="仿宋" w:eastAsia="仿宋" w:hAnsi="仿宋" w:cs="仿宋" w:hint="eastAsia"/>
          <w:sz w:val="32"/>
          <w:szCs w:val="32"/>
        </w:rPr>
        <w:t>10个，共14个严重问题，仅占采样孔总数的0.47%。</w:t>
      </w:r>
    </w:p>
    <w:p w14:paraId="2DC9B34B" w14:textId="77777777" w:rsidR="00DC57D8" w:rsidRDefault="00000000">
      <w:pPr>
        <w:tabs>
          <w:tab w:val="left" w:pos="3885"/>
        </w:tabs>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综上所述，四川省地质调查院承担的重点行业企业用地调查采样工作，严格按照《采样技术规定》、《质控技术规定》等规范执行，钻进工作方法正确、采样位置合理、采样规范、样品真实有效；质量管理体系完善且运行良好，质量监督检查组认真负责，保障了工作质量。通过近五个月的时间，圆满地完成了四川省重点行业企业用地调查采样任务。</w:t>
      </w:r>
    </w:p>
    <w:p w14:paraId="2DF0189E" w14:textId="77777777" w:rsidR="00DC57D8" w:rsidRDefault="00000000">
      <w:pPr>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四、绩效评价分析</w:t>
      </w:r>
    </w:p>
    <w:p w14:paraId="6EED2D1A" w14:textId="77777777" w:rsidR="00DC57D8" w:rsidRDefault="00000000">
      <w:pPr>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（一）项目决策情况</w:t>
      </w:r>
    </w:p>
    <w:p w14:paraId="1BE83822"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为加强项目管理，保证项目工作顺利开展，保质保量按期完成项目工作，四川省地质调查院经研究，决定成立了以院领导为组长的院项目领导小组，并于2020年4月1日正式发文。项目领导小组下设：项目管理小组、项目质控小组。项目管理小组：负责项目具体管理、组织、实施；项目质</w:t>
      </w:r>
      <w:proofErr w:type="gramStart"/>
      <w:r>
        <w:rPr>
          <w:rFonts w:ascii="仿宋" w:eastAsia="仿宋" w:hAnsi="仿宋" w:cs="仿宋" w:hint="eastAsia"/>
          <w:sz w:val="32"/>
          <w:szCs w:val="32"/>
          <w:lang w:val="zh-CN"/>
        </w:rPr>
        <w:t>控小组</w:t>
      </w:r>
      <w:proofErr w:type="gramEnd"/>
      <w:r>
        <w:rPr>
          <w:rFonts w:ascii="仿宋" w:eastAsia="仿宋" w:hAnsi="仿宋" w:cs="仿宋" w:hint="eastAsia"/>
          <w:sz w:val="32"/>
          <w:szCs w:val="32"/>
          <w:lang w:val="zh-CN"/>
        </w:rPr>
        <w:t>负责项目质量管理、质量监控。</w:t>
      </w:r>
    </w:p>
    <w:p w14:paraId="36BE233B" w14:textId="77777777" w:rsidR="00DC57D8" w:rsidRDefault="00000000">
      <w:pPr>
        <w:snapToGrid w:val="0"/>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lang w:val="zh-CN"/>
        </w:rPr>
        <w:t>构建了内部采样小组</w:t>
      </w:r>
      <w:proofErr w:type="gramStart"/>
      <w:r>
        <w:rPr>
          <w:rFonts w:ascii="仿宋" w:eastAsia="仿宋" w:hAnsi="仿宋" w:cs="仿宋" w:hint="eastAsia"/>
          <w:sz w:val="32"/>
          <w:szCs w:val="32"/>
          <w:lang w:val="zh-CN"/>
        </w:rPr>
        <w:t>—质控小组</w:t>
      </w:r>
      <w:proofErr w:type="gramEnd"/>
      <w:r>
        <w:rPr>
          <w:rFonts w:ascii="仿宋" w:eastAsia="仿宋" w:hAnsi="仿宋" w:cs="仿宋" w:hint="eastAsia"/>
          <w:sz w:val="32"/>
          <w:szCs w:val="32"/>
          <w:lang w:val="zh-CN"/>
        </w:rPr>
        <w:t>两级质量管理体系，搭建了采样小组—地调院（技术组、质控组）—省质控办的沟通桥梁。质</w:t>
      </w:r>
      <w:proofErr w:type="gramStart"/>
      <w:r>
        <w:rPr>
          <w:rFonts w:ascii="仿宋" w:eastAsia="仿宋" w:hAnsi="仿宋" w:cs="仿宋" w:hint="eastAsia"/>
          <w:sz w:val="32"/>
          <w:szCs w:val="32"/>
          <w:lang w:val="zh-CN"/>
        </w:rPr>
        <w:t>控小组</w:t>
      </w:r>
      <w:proofErr w:type="gramEnd"/>
      <w:r>
        <w:rPr>
          <w:rFonts w:ascii="仿宋" w:eastAsia="仿宋" w:hAnsi="仿宋" w:cs="仿宋" w:hint="eastAsia"/>
          <w:sz w:val="32"/>
          <w:szCs w:val="32"/>
          <w:lang w:val="zh-CN"/>
        </w:rPr>
        <w:t>发现问题及时向技术负责人汇报，同时与采样小组沟通，反馈现场和资料检查中存在的问题，以减少</w:t>
      </w:r>
      <w:r>
        <w:rPr>
          <w:rFonts w:ascii="仿宋" w:eastAsia="仿宋" w:hAnsi="仿宋" w:cs="仿宋" w:hint="eastAsia"/>
          <w:sz w:val="32"/>
          <w:szCs w:val="32"/>
          <w:lang w:val="zh-CN"/>
        </w:rPr>
        <w:lastRenderedPageBreak/>
        <w:t>问题的发生，保障采样工作质量，促进工作进度。同时及时向项目管理小组或领导小组反馈项目工作质量与进度，以便于项目领导小组统一组织、协调、管理。</w:t>
      </w:r>
    </w:p>
    <w:p w14:paraId="375A4EB9" w14:textId="77777777" w:rsidR="00DC57D8" w:rsidRDefault="00000000">
      <w:pPr>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（二）项目管理情况</w:t>
      </w:r>
    </w:p>
    <w:p w14:paraId="1E8AE334"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四川省地质调查院为核定收支、定额补助的事业单位，2019年以前执行地勘单位会计制度，2019年1月1日至今执行政府会计制度。</w:t>
      </w:r>
    </w:p>
    <w:p w14:paraId="513B0D1E"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四川省地质调查院作为“四川省重点行业企业用地调查”项目的承担单位之一，根据专项资金管理办法和国家有关财务规章制度等有关规定，结合实际情况制定了《四川省地质调查院差旅费管理暂行办法》、《四川省地质调查院预算管理暂行办法》等较为完善的财务管理制度，并根据本项目特点，制定了《重点行业企业用地调查费用报销管理办法》以确保专项资金的安全、规范使用。</w:t>
      </w:r>
    </w:p>
    <w:p w14:paraId="61731FD2"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该项目经费由四川省地质调查院财务部门统一核算，纳入四川省地质调查院账务核算系统，在四川省地质调查</w:t>
      </w:r>
      <w:proofErr w:type="gramStart"/>
      <w:r>
        <w:rPr>
          <w:rFonts w:ascii="仿宋" w:eastAsia="仿宋" w:hAnsi="仿宋" w:cs="仿宋" w:hint="eastAsia"/>
          <w:sz w:val="32"/>
          <w:szCs w:val="32"/>
          <w:lang w:val="zh-CN"/>
        </w:rPr>
        <w:t>院统一</w:t>
      </w:r>
      <w:proofErr w:type="gramEnd"/>
      <w:r>
        <w:rPr>
          <w:rFonts w:ascii="仿宋" w:eastAsia="仿宋" w:hAnsi="仿宋" w:cs="仿宋" w:hint="eastAsia"/>
          <w:sz w:val="32"/>
          <w:szCs w:val="32"/>
          <w:lang w:val="zh-CN"/>
        </w:rPr>
        <w:t>的会计核算系统中对相关会计科目设置项目辅助账的方式，对项目经费进行单独核算。所有项目经费支出</w:t>
      </w:r>
      <w:proofErr w:type="gramStart"/>
      <w:r>
        <w:rPr>
          <w:rFonts w:ascii="仿宋" w:eastAsia="仿宋" w:hAnsi="仿宋" w:cs="仿宋" w:hint="eastAsia"/>
          <w:sz w:val="32"/>
          <w:szCs w:val="32"/>
          <w:lang w:val="zh-CN"/>
        </w:rPr>
        <w:t>凭正式</w:t>
      </w:r>
      <w:proofErr w:type="gramEnd"/>
      <w:r>
        <w:rPr>
          <w:rFonts w:ascii="仿宋" w:eastAsia="仿宋" w:hAnsi="仿宋" w:cs="仿宋" w:hint="eastAsia"/>
          <w:sz w:val="32"/>
          <w:szCs w:val="32"/>
          <w:lang w:val="zh-CN"/>
        </w:rPr>
        <w:t>发票或符合规定的其他付款凭据，经项目使用经手人签字、项目负责人签字、分管领导会签、院长审批签字后报销支出，财务预决算中心根据审批情况进行款项支付和会计核算。确保专款专用，无超预算、无预算支出、无超范围、超标准支出。</w:t>
      </w:r>
    </w:p>
    <w:p w14:paraId="35FEC6B7" w14:textId="77777777" w:rsidR="00DC57D8" w:rsidRDefault="00000000">
      <w:pPr>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（三）项目产出情况</w:t>
      </w:r>
    </w:p>
    <w:p w14:paraId="0A1A226A"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项目共完成地块数402个、工业园区26个，共428个；此外完成2个背景点6件土壤样品采集。凉山州甘洛县一个地块因地面积水，无法开展工作，其余市（州）设计地块数和工业园区数量全面完成。</w:t>
      </w:r>
    </w:p>
    <w:p w14:paraId="27A6FE5F" w14:textId="77777777" w:rsidR="00DC57D8" w:rsidRDefault="00000000">
      <w:pPr>
        <w:snapToGrid w:val="0"/>
        <w:spacing w:line="600" w:lineRule="exact"/>
        <w:ind w:firstLineChars="200" w:firstLine="640"/>
        <w:rPr>
          <w:rFonts w:ascii="仿宋" w:eastAsia="仿宋" w:hAnsi="仿宋" w:cs="仿宋"/>
          <w:b/>
          <w:sz w:val="32"/>
          <w:szCs w:val="32"/>
        </w:rPr>
      </w:pPr>
      <w:r>
        <w:rPr>
          <w:rFonts w:ascii="仿宋" w:eastAsia="仿宋" w:hAnsi="仿宋" w:cs="仿宋" w:hint="eastAsia"/>
          <w:sz w:val="32"/>
          <w:szCs w:val="32"/>
          <w:lang w:val="zh-CN"/>
        </w:rPr>
        <w:t>四川省地质调查院承担的重点行业企业用地调查采样工作，严格按照《采样技术规定》、《质控技术规定》等规范执行，钻进工作方法正确、采样位置合理、采样规范、样品真实有效；质量管理体系完善且运行良好，质量监督检查组认真负责，保障了工作质量。通过近五个月的时间，圆满地完成了四川省重点行业企业用地调查采样任务。</w:t>
      </w:r>
    </w:p>
    <w:p w14:paraId="4C794F63" w14:textId="77777777" w:rsidR="00DC57D8" w:rsidRDefault="00000000">
      <w:pPr>
        <w:snapToGrid w:val="0"/>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（四）项目效益情况</w:t>
      </w:r>
    </w:p>
    <w:p w14:paraId="64E770BD"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项目效益情况见表1。</w:t>
      </w:r>
    </w:p>
    <w:p w14:paraId="1DDCF275" w14:textId="77777777" w:rsidR="00DC57D8" w:rsidRDefault="00000000">
      <w:pPr>
        <w:adjustRightInd w:val="0"/>
        <w:snapToGrid w:val="0"/>
        <w:spacing w:line="580" w:lineRule="exact"/>
        <w:jc w:val="center"/>
        <w:rPr>
          <w:rFonts w:ascii="仿宋" w:eastAsia="仿宋" w:hAnsi="仿宋" w:cs="仿宋"/>
          <w:sz w:val="32"/>
          <w:szCs w:val="32"/>
          <w:lang w:val="zh-CN"/>
        </w:rPr>
      </w:pPr>
      <w:r>
        <w:rPr>
          <w:rFonts w:ascii="仿宋" w:eastAsia="仿宋" w:hAnsi="仿宋" w:cs="仿宋" w:hint="eastAsia"/>
          <w:sz w:val="32"/>
          <w:szCs w:val="32"/>
          <w:lang w:val="zh-CN"/>
        </w:rPr>
        <w:t>表1项目效益情况表</w:t>
      </w:r>
    </w:p>
    <w:tbl>
      <w:tblPr>
        <w:tblW w:w="8522" w:type="dxa"/>
        <w:tblLayout w:type="fixed"/>
        <w:tblLook w:val="04A0" w:firstRow="1" w:lastRow="0" w:firstColumn="1" w:lastColumn="0" w:noHBand="0" w:noVBand="1"/>
      </w:tblPr>
      <w:tblGrid>
        <w:gridCol w:w="1047"/>
        <w:gridCol w:w="1041"/>
        <w:gridCol w:w="1694"/>
        <w:gridCol w:w="2216"/>
        <w:gridCol w:w="2524"/>
      </w:tblGrid>
      <w:tr w:rsidR="00DC57D8" w14:paraId="76CC7E00" w14:textId="77777777">
        <w:trPr>
          <w:trHeight w:val="570"/>
          <w:tblHeader/>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2648"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一级指标</w:t>
            </w:r>
          </w:p>
        </w:tc>
        <w:tc>
          <w:tcPr>
            <w:tcW w:w="1041" w:type="dxa"/>
            <w:tcBorders>
              <w:top w:val="single" w:sz="4" w:space="0" w:color="000000"/>
              <w:left w:val="nil"/>
              <w:bottom w:val="single" w:sz="4" w:space="0" w:color="000000"/>
              <w:right w:val="single" w:sz="4" w:space="0" w:color="000000"/>
            </w:tcBorders>
            <w:shd w:val="clear" w:color="auto" w:fill="auto"/>
            <w:vAlign w:val="center"/>
          </w:tcPr>
          <w:p w14:paraId="111F5F5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二级指标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7B99558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三级指标</w:t>
            </w:r>
          </w:p>
        </w:tc>
        <w:tc>
          <w:tcPr>
            <w:tcW w:w="2216" w:type="dxa"/>
            <w:tcBorders>
              <w:top w:val="single" w:sz="4" w:space="0" w:color="000000"/>
              <w:left w:val="nil"/>
              <w:bottom w:val="single" w:sz="4" w:space="0" w:color="000000"/>
              <w:right w:val="single" w:sz="4" w:space="0" w:color="000000"/>
            </w:tcBorders>
            <w:shd w:val="clear" w:color="auto" w:fill="auto"/>
            <w:vAlign w:val="center"/>
          </w:tcPr>
          <w:p w14:paraId="4472525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预期指标值(包含数字及文字描述)</w:t>
            </w:r>
          </w:p>
        </w:tc>
        <w:tc>
          <w:tcPr>
            <w:tcW w:w="2524" w:type="dxa"/>
            <w:tcBorders>
              <w:top w:val="single" w:sz="4" w:space="0" w:color="000000"/>
              <w:left w:val="nil"/>
              <w:bottom w:val="single" w:sz="4" w:space="0" w:color="000000"/>
              <w:right w:val="single" w:sz="4" w:space="0" w:color="000000"/>
            </w:tcBorders>
            <w:shd w:val="clear" w:color="auto" w:fill="auto"/>
            <w:vAlign w:val="center"/>
          </w:tcPr>
          <w:p w14:paraId="70CCAB1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实际完成指标值(包含数字及文字描述)</w:t>
            </w:r>
          </w:p>
        </w:tc>
      </w:tr>
      <w:tr w:rsidR="00DC57D8" w14:paraId="2AA1E415" w14:textId="77777777">
        <w:trPr>
          <w:trHeight w:val="1140"/>
        </w:trPr>
        <w:tc>
          <w:tcPr>
            <w:tcW w:w="1047" w:type="dxa"/>
            <w:tcBorders>
              <w:top w:val="nil"/>
              <w:left w:val="single" w:sz="4" w:space="0" w:color="000000"/>
              <w:bottom w:val="single" w:sz="4" w:space="0" w:color="000000"/>
              <w:right w:val="single" w:sz="4" w:space="0" w:color="000000"/>
            </w:tcBorders>
            <w:shd w:val="clear" w:color="auto" w:fill="auto"/>
            <w:vAlign w:val="center"/>
          </w:tcPr>
          <w:p w14:paraId="1E0AAE8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项目完成指标</w:t>
            </w:r>
          </w:p>
        </w:tc>
        <w:tc>
          <w:tcPr>
            <w:tcW w:w="1041" w:type="dxa"/>
            <w:tcBorders>
              <w:top w:val="nil"/>
              <w:left w:val="nil"/>
              <w:bottom w:val="single" w:sz="4" w:space="0" w:color="000000"/>
              <w:right w:val="single" w:sz="4" w:space="0" w:color="000000"/>
            </w:tcBorders>
            <w:shd w:val="clear" w:color="auto" w:fill="auto"/>
            <w:vAlign w:val="center"/>
          </w:tcPr>
          <w:p w14:paraId="1AD6338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数量指标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2682BA2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地块、化工园区、背景点采样</w:t>
            </w:r>
          </w:p>
        </w:tc>
        <w:tc>
          <w:tcPr>
            <w:tcW w:w="2216" w:type="dxa"/>
            <w:tcBorders>
              <w:top w:val="nil"/>
              <w:left w:val="nil"/>
              <w:bottom w:val="single" w:sz="4" w:space="0" w:color="000000"/>
              <w:right w:val="single" w:sz="4" w:space="0" w:color="000000"/>
            </w:tcBorders>
            <w:shd w:val="clear" w:color="auto" w:fill="auto"/>
            <w:vAlign w:val="center"/>
          </w:tcPr>
          <w:p w14:paraId="002B247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403个地块、26个化工园区、2个土壤背景点</w:t>
            </w:r>
          </w:p>
        </w:tc>
        <w:tc>
          <w:tcPr>
            <w:tcW w:w="2524" w:type="dxa"/>
            <w:tcBorders>
              <w:top w:val="nil"/>
              <w:left w:val="nil"/>
              <w:bottom w:val="single" w:sz="4" w:space="0" w:color="000000"/>
              <w:right w:val="single" w:sz="4" w:space="0" w:color="000000"/>
            </w:tcBorders>
            <w:shd w:val="clear" w:color="auto" w:fill="auto"/>
            <w:vAlign w:val="center"/>
          </w:tcPr>
          <w:p w14:paraId="122182C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完成402个地块采样，完成26个化工园区采样，完成2个土壤背景点采样。凉山州甘洛县一</w:t>
            </w:r>
            <w:r>
              <w:rPr>
                <w:rFonts w:ascii="仿宋" w:eastAsia="仿宋" w:hAnsi="仿宋" w:cs="仿宋" w:hint="eastAsia"/>
                <w:kern w:val="0"/>
                <w:sz w:val="32"/>
                <w:szCs w:val="32"/>
                <w:lang w:bidi="bo-CN"/>
              </w:rPr>
              <w:lastRenderedPageBreak/>
              <w:t>个地块因地面积水无法开展工作</w:t>
            </w:r>
          </w:p>
        </w:tc>
      </w:tr>
      <w:tr w:rsidR="00DC57D8" w14:paraId="4178E0C5" w14:textId="77777777">
        <w:trPr>
          <w:trHeight w:val="285"/>
        </w:trPr>
        <w:tc>
          <w:tcPr>
            <w:tcW w:w="1047" w:type="dxa"/>
            <w:tcBorders>
              <w:top w:val="nil"/>
              <w:left w:val="single" w:sz="4" w:space="0" w:color="000000"/>
              <w:bottom w:val="single" w:sz="4" w:space="0" w:color="000000"/>
              <w:right w:val="single" w:sz="4" w:space="0" w:color="000000"/>
            </w:tcBorders>
            <w:shd w:val="clear" w:color="auto" w:fill="auto"/>
            <w:vAlign w:val="center"/>
          </w:tcPr>
          <w:p w14:paraId="1FB7C3CB"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lastRenderedPageBreak/>
              <w:t>项目完成指标</w:t>
            </w:r>
          </w:p>
        </w:tc>
        <w:tc>
          <w:tcPr>
            <w:tcW w:w="1041" w:type="dxa"/>
            <w:tcBorders>
              <w:top w:val="nil"/>
              <w:left w:val="nil"/>
              <w:bottom w:val="single" w:sz="4" w:space="0" w:color="000000"/>
              <w:right w:val="single" w:sz="4" w:space="0" w:color="000000"/>
            </w:tcBorders>
            <w:shd w:val="clear" w:color="auto" w:fill="auto"/>
            <w:vAlign w:val="center"/>
          </w:tcPr>
          <w:p w14:paraId="67DEF758"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质量指标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6FC3D87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按国家技术要求完成采样工作</w:t>
            </w:r>
          </w:p>
        </w:tc>
        <w:tc>
          <w:tcPr>
            <w:tcW w:w="2216" w:type="dxa"/>
            <w:tcBorders>
              <w:top w:val="nil"/>
              <w:left w:val="nil"/>
              <w:bottom w:val="single" w:sz="4" w:space="0" w:color="000000"/>
              <w:right w:val="single" w:sz="4" w:space="0" w:color="000000"/>
            </w:tcBorders>
            <w:shd w:val="clear" w:color="auto" w:fill="auto"/>
            <w:vAlign w:val="center"/>
          </w:tcPr>
          <w:p w14:paraId="475328FD"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通过四川省环科院的验收</w:t>
            </w:r>
          </w:p>
        </w:tc>
        <w:tc>
          <w:tcPr>
            <w:tcW w:w="2524" w:type="dxa"/>
            <w:tcBorders>
              <w:top w:val="nil"/>
              <w:left w:val="nil"/>
              <w:bottom w:val="single" w:sz="4" w:space="0" w:color="000000"/>
              <w:right w:val="single" w:sz="4" w:space="0" w:color="000000"/>
            </w:tcBorders>
            <w:shd w:val="clear" w:color="auto" w:fill="auto"/>
            <w:vAlign w:val="center"/>
          </w:tcPr>
          <w:p w14:paraId="5C5845C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已通过四川省环科院的验收</w:t>
            </w:r>
          </w:p>
        </w:tc>
      </w:tr>
      <w:tr w:rsidR="00DC57D8" w14:paraId="57A89A4E" w14:textId="77777777">
        <w:trPr>
          <w:trHeight w:val="675"/>
        </w:trPr>
        <w:tc>
          <w:tcPr>
            <w:tcW w:w="1047" w:type="dxa"/>
            <w:tcBorders>
              <w:top w:val="nil"/>
              <w:left w:val="single" w:sz="4" w:space="0" w:color="000000"/>
              <w:bottom w:val="single" w:sz="4" w:space="0" w:color="000000"/>
              <w:right w:val="single" w:sz="4" w:space="0" w:color="000000"/>
            </w:tcBorders>
            <w:shd w:val="clear" w:color="auto" w:fill="auto"/>
            <w:vAlign w:val="center"/>
          </w:tcPr>
          <w:p w14:paraId="5553AF5F"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项目完成指标</w:t>
            </w:r>
          </w:p>
        </w:tc>
        <w:tc>
          <w:tcPr>
            <w:tcW w:w="1041" w:type="dxa"/>
            <w:tcBorders>
              <w:top w:val="nil"/>
              <w:left w:val="nil"/>
              <w:bottom w:val="single" w:sz="4" w:space="0" w:color="000000"/>
              <w:right w:val="single" w:sz="4" w:space="0" w:color="000000"/>
            </w:tcBorders>
            <w:shd w:val="clear" w:color="auto" w:fill="auto"/>
            <w:vAlign w:val="center"/>
          </w:tcPr>
          <w:p w14:paraId="067BA62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时效指标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50A118ED"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根据国家及省生态环境厅要求，按时完成采样及样品粗制等工作</w:t>
            </w:r>
          </w:p>
        </w:tc>
        <w:tc>
          <w:tcPr>
            <w:tcW w:w="2216" w:type="dxa"/>
            <w:tcBorders>
              <w:top w:val="nil"/>
              <w:left w:val="nil"/>
              <w:bottom w:val="single" w:sz="4" w:space="0" w:color="000000"/>
              <w:right w:val="single" w:sz="4" w:space="0" w:color="000000"/>
            </w:tcBorders>
            <w:shd w:val="clear" w:color="auto" w:fill="auto"/>
            <w:vAlign w:val="center"/>
          </w:tcPr>
          <w:p w14:paraId="4F462D3D"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2020年9月31日</w:t>
            </w:r>
          </w:p>
        </w:tc>
        <w:tc>
          <w:tcPr>
            <w:tcW w:w="2524" w:type="dxa"/>
            <w:tcBorders>
              <w:top w:val="nil"/>
              <w:left w:val="nil"/>
              <w:bottom w:val="single" w:sz="4" w:space="0" w:color="000000"/>
              <w:right w:val="single" w:sz="4" w:space="0" w:color="000000"/>
            </w:tcBorders>
            <w:shd w:val="clear" w:color="auto" w:fill="auto"/>
            <w:vAlign w:val="center"/>
          </w:tcPr>
          <w:p w14:paraId="524261A3"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已于2020年9月底前全面完成采样及样品粗制工作</w:t>
            </w:r>
          </w:p>
        </w:tc>
      </w:tr>
      <w:tr w:rsidR="00DC57D8" w14:paraId="3B84DBE5" w14:textId="77777777">
        <w:trPr>
          <w:trHeight w:val="285"/>
        </w:trPr>
        <w:tc>
          <w:tcPr>
            <w:tcW w:w="1047" w:type="dxa"/>
            <w:tcBorders>
              <w:top w:val="nil"/>
              <w:left w:val="single" w:sz="4" w:space="0" w:color="000000"/>
              <w:bottom w:val="single" w:sz="4" w:space="0" w:color="000000"/>
              <w:right w:val="single" w:sz="4" w:space="0" w:color="000000"/>
            </w:tcBorders>
            <w:shd w:val="clear" w:color="auto" w:fill="auto"/>
            <w:vAlign w:val="center"/>
          </w:tcPr>
          <w:p w14:paraId="7A349858"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项目完成指标</w:t>
            </w:r>
          </w:p>
        </w:tc>
        <w:tc>
          <w:tcPr>
            <w:tcW w:w="1041" w:type="dxa"/>
            <w:tcBorders>
              <w:top w:val="nil"/>
              <w:left w:val="nil"/>
              <w:bottom w:val="single" w:sz="4" w:space="0" w:color="000000"/>
              <w:right w:val="single" w:sz="4" w:space="0" w:color="000000"/>
            </w:tcBorders>
            <w:shd w:val="clear" w:color="auto" w:fill="auto"/>
            <w:vAlign w:val="center"/>
          </w:tcPr>
          <w:p w14:paraId="4EC56B64"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成本指标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06B5CC4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预算经费2324.69万元</w:t>
            </w:r>
          </w:p>
        </w:tc>
        <w:tc>
          <w:tcPr>
            <w:tcW w:w="2216" w:type="dxa"/>
            <w:tcBorders>
              <w:top w:val="nil"/>
              <w:left w:val="nil"/>
              <w:bottom w:val="single" w:sz="4" w:space="0" w:color="000000"/>
              <w:right w:val="single" w:sz="4" w:space="0" w:color="000000"/>
            </w:tcBorders>
            <w:shd w:val="clear" w:color="auto" w:fill="auto"/>
            <w:vAlign w:val="center"/>
          </w:tcPr>
          <w:p w14:paraId="07695C7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100%</w:t>
            </w:r>
          </w:p>
        </w:tc>
        <w:tc>
          <w:tcPr>
            <w:tcW w:w="2524" w:type="dxa"/>
            <w:tcBorders>
              <w:top w:val="nil"/>
              <w:left w:val="nil"/>
              <w:bottom w:val="single" w:sz="4" w:space="0" w:color="000000"/>
              <w:right w:val="single" w:sz="4" w:space="0" w:color="000000"/>
            </w:tcBorders>
            <w:shd w:val="clear" w:color="auto" w:fill="auto"/>
            <w:vAlign w:val="center"/>
          </w:tcPr>
          <w:p w14:paraId="700CF0F5"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100%</w:t>
            </w:r>
          </w:p>
        </w:tc>
      </w:tr>
      <w:tr w:rsidR="00DC57D8" w14:paraId="3F92B53F" w14:textId="77777777">
        <w:trPr>
          <w:trHeight w:val="1140"/>
        </w:trPr>
        <w:tc>
          <w:tcPr>
            <w:tcW w:w="1047" w:type="dxa"/>
            <w:tcBorders>
              <w:top w:val="nil"/>
              <w:left w:val="single" w:sz="4" w:space="0" w:color="000000"/>
              <w:bottom w:val="single" w:sz="4" w:space="0" w:color="000000"/>
              <w:right w:val="single" w:sz="4" w:space="0" w:color="000000"/>
            </w:tcBorders>
            <w:shd w:val="clear" w:color="auto" w:fill="auto"/>
            <w:vAlign w:val="center"/>
          </w:tcPr>
          <w:p w14:paraId="72F4A173"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效益指标</w:t>
            </w:r>
          </w:p>
        </w:tc>
        <w:tc>
          <w:tcPr>
            <w:tcW w:w="1041" w:type="dxa"/>
            <w:tcBorders>
              <w:top w:val="nil"/>
              <w:left w:val="nil"/>
              <w:bottom w:val="single" w:sz="4" w:space="0" w:color="000000"/>
              <w:right w:val="single" w:sz="4" w:space="0" w:color="000000"/>
            </w:tcBorders>
            <w:shd w:val="clear" w:color="auto" w:fill="auto"/>
            <w:vAlign w:val="center"/>
          </w:tcPr>
          <w:p w14:paraId="2DE2C100"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经济效益指标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6F12D92A"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推进建设用地准入管理，实</w:t>
            </w:r>
            <w:r>
              <w:rPr>
                <w:rFonts w:ascii="仿宋" w:eastAsia="仿宋" w:hAnsi="仿宋" w:cs="仿宋" w:hint="eastAsia"/>
                <w:kern w:val="0"/>
                <w:sz w:val="32"/>
                <w:szCs w:val="32"/>
                <w:lang w:bidi="bo-CN"/>
              </w:rPr>
              <w:lastRenderedPageBreak/>
              <w:t>施土壤污染分类别、分用途、分阶段治理，加强土壤环境污染防治和风险管控</w:t>
            </w:r>
          </w:p>
        </w:tc>
        <w:tc>
          <w:tcPr>
            <w:tcW w:w="2216" w:type="dxa"/>
            <w:tcBorders>
              <w:top w:val="nil"/>
              <w:left w:val="nil"/>
              <w:bottom w:val="single" w:sz="4" w:space="0" w:color="000000"/>
              <w:right w:val="single" w:sz="4" w:space="0" w:color="000000"/>
            </w:tcBorders>
            <w:shd w:val="clear" w:color="auto" w:fill="auto"/>
            <w:vAlign w:val="center"/>
          </w:tcPr>
          <w:p w14:paraId="41221AFE"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lastRenderedPageBreak/>
              <w:t>无</w:t>
            </w:r>
          </w:p>
        </w:tc>
        <w:tc>
          <w:tcPr>
            <w:tcW w:w="2524" w:type="dxa"/>
            <w:tcBorders>
              <w:top w:val="nil"/>
              <w:left w:val="nil"/>
              <w:bottom w:val="single" w:sz="4" w:space="0" w:color="000000"/>
              <w:right w:val="single" w:sz="4" w:space="0" w:color="000000"/>
            </w:tcBorders>
            <w:shd w:val="clear" w:color="auto" w:fill="auto"/>
            <w:vAlign w:val="center"/>
          </w:tcPr>
          <w:p w14:paraId="54724A2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无</w:t>
            </w:r>
          </w:p>
        </w:tc>
      </w:tr>
      <w:tr w:rsidR="00DC57D8" w14:paraId="668C913D" w14:textId="77777777">
        <w:trPr>
          <w:trHeight w:val="1215"/>
        </w:trPr>
        <w:tc>
          <w:tcPr>
            <w:tcW w:w="1047" w:type="dxa"/>
            <w:tcBorders>
              <w:top w:val="nil"/>
              <w:left w:val="single" w:sz="4" w:space="0" w:color="000000"/>
              <w:bottom w:val="single" w:sz="4" w:space="0" w:color="000000"/>
              <w:right w:val="single" w:sz="4" w:space="0" w:color="000000"/>
            </w:tcBorders>
            <w:shd w:val="clear" w:color="auto" w:fill="auto"/>
            <w:vAlign w:val="center"/>
          </w:tcPr>
          <w:p w14:paraId="7A4002E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效益指标</w:t>
            </w:r>
          </w:p>
        </w:tc>
        <w:tc>
          <w:tcPr>
            <w:tcW w:w="1041" w:type="dxa"/>
            <w:tcBorders>
              <w:top w:val="nil"/>
              <w:left w:val="nil"/>
              <w:bottom w:val="single" w:sz="4" w:space="0" w:color="000000"/>
              <w:right w:val="single" w:sz="4" w:space="0" w:color="000000"/>
            </w:tcBorders>
            <w:shd w:val="clear" w:color="auto" w:fill="auto"/>
            <w:vAlign w:val="center"/>
          </w:tcPr>
          <w:p w14:paraId="04BB7F8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社会效益指标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281744D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促进初步采样工作保质保量完成，保障我省重点行业企业用地掉核查工作有序推进</w:t>
            </w:r>
          </w:p>
        </w:tc>
        <w:tc>
          <w:tcPr>
            <w:tcW w:w="2216" w:type="dxa"/>
            <w:tcBorders>
              <w:top w:val="nil"/>
              <w:left w:val="nil"/>
              <w:bottom w:val="single" w:sz="4" w:space="0" w:color="000000"/>
              <w:right w:val="single" w:sz="4" w:space="0" w:color="000000"/>
            </w:tcBorders>
            <w:shd w:val="clear" w:color="auto" w:fill="auto"/>
            <w:vAlign w:val="center"/>
          </w:tcPr>
          <w:p w14:paraId="1FB7CE4F"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建立全省重点行业企业用地疑似污染地块清单、污染地块清单和优先管控名录</w:t>
            </w:r>
          </w:p>
        </w:tc>
        <w:tc>
          <w:tcPr>
            <w:tcW w:w="2524" w:type="dxa"/>
            <w:tcBorders>
              <w:top w:val="nil"/>
              <w:left w:val="nil"/>
              <w:bottom w:val="single" w:sz="4" w:space="0" w:color="000000"/>
              <w:right w:val="single" w:sz="4" w:space="0" w:color="000000"/>
            </w:tcBorders>
            <w:shd w:val="clear" w:color="auto" w:fill="auto"/>
            <w:vAlign w:val="center"/>
          </w:tcPr>
          <w:p w14:paraId="6972720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已根据调查成果建立了全省重点行业企业用地疑似污染地块清单、污染地块清单和优先管控名录</w:t>
            </w:r>
          </w:p>
        </w:tc>
      </w:tr>
      <w:tr w:rsidR="00DC57D8" w14:paraId="6012B7CB" w14:textId="77777777">
        <w:trPr>
          <w:trHeight w:val="915"/>
        </w:trPr>
        <w:tc>
          <w:tcPr>
            <w:tcW w:w="1047" w:type="dxa"/>
            <w:tcBorders>
              <w:top w:val="nil"/>
              <w:left w:val="single" w:sz="4" w:space="0" w:color="000000"/>
              <w:bottom w:val="single" w:sz="4" w:space="0" w:color="000000"/>
              <w:right w:val="single" w:sz="4" w:space="0" w:color="000000"/>
            </w:tcBorders>
            <w:shd w:val="clear" w:color="auto" w:fill="auto"/>
            <w:vAlign w:val="center"/>
          </w:tcPr>
          <w:p w14:paraId="39ACBB2F"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lastRenderedPageBreak/>
              <w:t>效益指标</w:t>
            </w:r>
          </w:p>
        </w:tc>
        <w:tc>
          <w:tcPr>
            <w:tcW w:w="1041" w:type="dxa"/>
            <w:tcBorders>
              <w:top w:val="nil"/>
              <w:left w:val="nil"/>
              <w:bottom w:val="single" w:sz="4" w:space="0" w:color="000000"/>
              <w:right w:val="single" w:sz="4" w:space="0" w:color="000000"/>
            </w:tcBorders>
            <w:shd w:val="clear" w:color="auto" w:fill="auto"/>
            <w:vAlign w:val="center"/>
          </w:tcPr>
          <w:p w14:paraId="3295D4BD"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生态效益指标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390F2842"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维护公众健康，建立和完善我省土壤环境管理体系，提升土壤环境管理水平</w:t>
            </w:r>
          </w:p>
        </w:tc>
        <w:tc>
          <w:tcPr>
            <w:tcW w:w="2216" w:type="dxa"/>
            <w:tcBorders>
              <w:top w:val="nil"/>
              <w:left w:val="nil"/>
              <w:bottom w:val="single" w:sz="4" w:space="0" w:color="000000"/>
              <w:right w:val="single" w:sz="4" w:space="0" w:color="000000"/>
            </w:tcBorders>
            <w:shd w:val="clear" w:color="auto" w:fill="auto"/>
            <w:vAlign w:val="center"/>
          </w:tcPr>
          <w:p w14:paraId="15883E6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防控企业用地环境</w:t>
            </w:r>
          </w:p>
        </w:tc>
        <w:tc>
          <w:tcPr>
            <w:tcW w:w="2524" w:type="dxa"/>
            <w:tcBorders>
              <w:top w:val="nil"/>
              <w:left w:val="nil"/>
              <w:bottom w:val="single" w:sz="4" w:space="0" w:color="000000"/>
              <w:right w:val="single" w:sz="4" w:space="0" w:color="000000"/>
            </w:tcBorders>
            <w:shd w:val="clear" w:color="auto" w:fill="auto"/>
            <w:vAlign w:val="center"/>
          </w:tcPr>
          <w:p w14:paraId="26CEA16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根据调查成果，防止企业用地环境恶化</w:t>
            </w:r>
          </w:p>
        </w:tc>
      </w:tr>
      <w:tr w:rsidR="00DC57D8" w14:paraId="1C6326E2" w14:textId="77777777">
        <w:trPr>
          <w:trHeight w:val="570"/>
        </w:trPr>
        <w:tc>
          <w:tcPr>
            <w:tcW w:w="1047" w:type="dxa"/>
            <w:tcBorders>
              <w:top w:val="nil"/>
              <w:left w:val="single" w:sz="4" w:space="0" w:color="000000"/>
              <w:bottom w:val="single" w:sz="4" w:space="0" w:color="000000"/>
              <w:right w:val="single" w:sz="4" w:space="0" w:color="000000"/>
            </w:tcBorders>
            <w:shd w:val="clear" w:color="auto" w:fill="auto"/>
            <w:vAlign w:val="center"/>
          </w:tcPr>
          <w:p w14:paraId="4921DC9C"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效益指标</w:t>
            </w:r>
          </w:p>
        </w:tc>
        <w:tc>
          <w:tcPr>
            <w:tcW w:w="1041" w:type="dxa"/>
            <w:tcBorders>
              <w:top w:val="nil"/>
              <w:left w:val="nil"/>
              <w:bottom w:val="single" w:sz="4" w:space="0" w:color="000000"/>
              <w:right w:val="single" w:sz="4" w:space="0" w:color="000000"/>
            </w:tcBorders>
            <w:shd w:val="clear" w:color="auto" w:fill="auto"/>
            <w:vAlign w:val="center"/>
          </w:tcPr>
          <w:p w14:paraId="33191BCC"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可持续影响指标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654C33C1"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促进我省土壤污染防治工作有序开展</w:t>
            </w:r>
          </w:p>
        </w:tc>
        <w:tc>
          <w:tcPr>
            <w:tcW w:w="2216" w:type="dxa"/>
            <w:tcBorders>
              <w:top w:val="nil"/>
              <w:left w:val="nil"/>
              <w:bottom w:val="single" w:sz="4" w:space="0" w:color="000000"/>
              <w:right w:val="single" w:sz="4" w:space="0" w:color="000000"/>
            </w:tcBorders>
            <w:shd w:val="clear" w:color="auto" w:fill="auto"/>
            <w:vAlign w:val="center"/>
          </w:tcPr>
          <w:p w14:paraId="376A5A5E"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＞90%</w:t>
            </w:r>
          </w:p>
        </w:tc>
        <w:tc>
          <w:tcPr>
            <w:tcW w:w="2524" w:type="dxa"/>
            <w:tcBorders>
              <w:top w:val="nil"/>
              <w:left w:val="nil"/>
              <w:bottom w:val="single" w:sz="4" w:space="0" w:color="000000"/>
              <w:right w:val="single" w:sz="4" w:space="0" w:color="000000"/>
            </w:tcBorders>
            <w:shd w:val="clear" w:color="auto" w:fill="auto"/>
            <w:vAlign w:val="center"/>
          </w:tcPr>
          <w:p w14:paraId="0619872B"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重点行业企业用地调查工作已有序开展完成</w:t>
            </w:r>
          </w:p>
        </w:tc>
      </w:tr>
      <w:tr w:rsidR="00DC57D8" w14:paraId="4E9BB7C3" w14:textId="77777777">
        <w:trPr>
          <w:trHeight w:val="570"/>
        </w:trPr>
        <w:tc>
          <w:tcPr>
            <w:tcW w:w="1047" w:type="dxa"/>
            <w:tcBorders>
              <w:top w:val="nil"/>
              <w:left w:val="single" w:sz="4" w:space="0" w:color="000000"/>
              <w:bottom w:val="single" w:sz="4" w:space="0" w:color="000000"/>
              <w:right w:val="single" w:sz="4" w:space="0" w:color="000000"/>
            </w:tcBorders>
            <w:shd w:val="clear" w:color="auto" w:fill="auto"/>
            <w:vAlign w:val="center"/>
          </w:tcPr>
          <w:p w14:paraId="22D770AA"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满意度指标</w:t>
            </w:r>
          </w:p>
        </w:tc>
        <w:tc>
          <w:tcPr>
            <w:tcW w:w="1041" w:type="dxa"/>
            <w:tcBorders>
              <w:top w:val="nil"/>
              <w:left w:val="nil"/>
              <w:bottom w:val="single" w:sz="4" w:space="0" w:color="000000"/>
              <w:right w:val="single" w:sz="4" w:space="0" w:color="000000"/>
            </w:tcBorders>
            <w:shd w:val="clear" w:color="auto" w:fill="auto"/>
            <w:vAlign w:val="center"/>
          </w:tcPr>
          <w:p w14:paraId="3E09E4F4"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满意度指标</w:t>
            </w:r>
          </w:p>
        </w:tc>
        <w:tc>
          <w:tcPr>
            <w:tcW w:w="1694" w:type="dxa"/>
            <w:tcBorders>
              <w:top w:val="single" w:sz="4" w:space="0" w:color="000000"/>
              <w:left w:val="nil"/>
              <w:bottom w:val="single" w:sz="4" w:space="0" w:color="000000"/>
              <w:right w:val="single" w:sz="4" w:space="0" w:color="000000"/>
            </w:tcBorders>
            <w:shd w:val="clear" w:color="auto" w:fill="auto"/>
            <w:vAlign w:val="center"/>
          </w:tcPr>
          <w:p w14:paraId="1CA12B27"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通过四川省生态环境厅组织的验收，满足国家</w:t>
            </w:r>
            <w:r>
              <w:rPr>
                <w:rFonts w:ascii="仿宋" w:eastAsia="仿宋" w:hAnsi="仿宋" w:cs="仿宋" w:hint="eastAsia"/>
                <w:kern w:val="0"/>
                <w:sz w:val="32"/>
                <w:szCs w:val="32"/>
                <w:lang w:bidi="bo-CN"/>
              </w:rPr>
              <w:lastRenderedPageBreak/>
              <w:t>防控的要求</w:t>
            </w:r>
          </w:p>
        </w:tc>
        <w:tc>
          <w:tcPr>
            <w:tcW w:w="2216" w:type="dxa"/>
            <w:tcBorders>
              <w:top w:val="nil"/>
              <w:left w:val="nil"/>
              <w:bottom w:val="single" w:sz="4" w:space="0" w:color="000000"/>
              <w:right w:val="single" w:sz="4" w:space="0" w:color="000000"/>
            </w:tcBorders>
            <w:shd w:val="clear" w:color="auto" w:fill="auto"/>
            <w:vAlign w:val="center"/>
          </w:tcPr>
          <w:p w14:paraId="6E0127B8"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lastRenderedPageBreak/>
              <w:t>满意度指标达90%以上</w:t>
            </w:r>
          </w:p>
        </w:tc>
        <w:tc>
          <w:tcPr>
            <w:tcW w:w="2524" w:type="dxa"/>
            <w:tcBorders>
              <w:top w:val="nil"/>
              <w:left w:val="nil"/>
              <w:bottom w:val="single" w:sz="4" w:space="0" w:color="000000"/>
              <w:right w:val="single" w:sz="4" w:space="0" w:color="000000"/>
            </w:tcBorders>
            <w:shd w:val="clear" w:color="auto" w:fill="auto"/>
            <w:vAlign w:val="center"/>
          </w:tcPr>
          <w:p w14:paraId="3D5DB2A8" w14:textId="77777777" w:rsidR="00DC57D8" w:rsidRDefault="00000000">
            <w:pPr>
              <w:widowControl/>
              <w:jc w:val="center"/>
              <w:rPr>
                <w:rFonts w:ascii="仿宋" w:eastAsia="仿宋" w:hAnsi="仿宋" w:cs="仿宋"/>
                <w:kern w:val="0"/>
                <w:sz w:val="32"/>
                <w:szCs w:val="32"/>
                <w:lang w:bidi="bo-CN"/>
              </w:rPr>
            </w:pPr>
            <w:r>
              <w:rPr>
                <w:rFonts w:ascii="仿宋" w:eastAsia="仿宋" w:hAnsi="仿宋" w:cs="仿宋" w:hint="eastAsia"/>
                <w:kern w:val="0"/>
                <w:sz w:val="32"/>
                <w:szCs w:val="32"/>
                <w:lang w:bidi="bo-CN"/>
              </w:rPr>
              <w:t>通过已通过省级抽查，合格率100%，四川省生态环境</w:t>
            </w:r>
            <w:proofErr w:type="gramStart"/>
            <w:r>
              <w:rPr>
                <w:rFonts w:ascii="仿宋" w:eastAsia="仿宋" w:hAnsi="仿宋" w:cs="仿宋" w:hint="eastAsia"/>
                <w:kern w:val="0"/>
                <w:sz w:val="32"/>
                <w:szCs w:val="32"/>
                <w:lang w:bidi="bo-CN"/>
              </w:rPr>
              <w:t>厅满意</w:t>
            </w:r>
            <w:proofErr w:type="gramEnd"/>
            <w:r>
              <w:rPr>
                <w:rFonts w:ascii="仿宋" w:eastAsia="仿宋" w:hAnsi="仿宋" w:cs="仿宋" w:hint="eastAsia"/>
                <w:kern w:val="0"/>
                <w:sz w:val="32"/>
                <w:szCs w:val="32"/>
                <w:lang w:bidi="bo-CN"/>
              </w:rPr>
              <w:t>度100%。</w:t>
            </w:r>
          </w:p>
        </w:tc>
      </w:tr>
    </w:tbl>
    <w:p w14:paraId="46E5A0C9" w14:textId="77777777" w:rsidR="00DC57D8" w:rsidRDefault="00DC57D8">
      <w:pPr>
        <w:snapToGrid w:val="0"/>
        <w:spacing w:line="600" w:lineRule="exact"/>
        <w:ind w:firstLineChars="200" w:firstLine="643"/>
        <w:rPr>
          <w:rFonts w:ascii="仿宋" w:eastAsia="仿宋" w:hAnsi="仿宋" w:cs="仿宋"/>
          <w:b/>
          <w:sz w:val="32"/>
          <w:szCs w:val="32"/>
        </w:rPr>
      </w:pPr>
    </w:p>
    <w:p w14:paraId="72561CE7" w14:textId="77777777" w:rsidR="00DC57D8" w:rsidRDefault="00000000">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五、存在主要问题</w:t>
      </w:r>
    </w:p>
    <w:p w14:paraId="6C9FBA9C" w14:textId="77777777" w:rsidR="00DC57D8" w:rsidRDefault="00000000">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lang w:val="zh-CN"/>
        </w:rPr>
        <w:t>因新冠疫情影响，原采样启动计划被迫延迟，但环保部仍要求按原计划完成采样，因此在组织采样过程中，不断的增加人员和设备，造成成本大幅度增加。</w:t>
      </w:r>
    </w:p>
    <w:p w14:paraId="46C6D3B4" w14:textId="77777777" w:rsidR="00DC57D8" w:rsidRDefault="00000000">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六、相关措施建议</w:t>
      </w:r>
    </w:p>
    <w:p w14:paraId="54B482EC" w14:textId="77777777" w:rsidR="00DC57D8" w:rsidRDefault="00000000">
      <w:pPr>
        <w:adjustRightInd w:val="0"/>
        <w:snapToGrid w:val="0"/>
        <w:spacing w:line="580" w:lineRule="exact"/>
        <w:ind w:firstLine="720"/>
        <w:rPr>
          <w:rFonts w:ascii="仿宋" w:eastAsia="仿宋" w:hAnsi="仿宋" w:cs="仿宋"/>
          <w:sz w:val="32"/>
          <w:szCs w:val="32"/>
          <w:lang w:val="zh-CN"/>
        </w:rPr>
      </w:pPr>
      <w:r>
        <w:rPr>
          <w:rFonts w:ascii="仿宋" w:eastAsia="仿宋" w:hAnsi="仿宋" w:cs="仿宋" w:hint="eastAsia"/>
          <w:sz w:val="32"/>
          <w:szCs w:val="32"/>
          <w:lang w:val="zh-CN"/>
        </w:rPr>
        <w:t>由于项目前期方案编制阶段采样单位未参与，在采样单位进场时部分点位企业处于自身原因要求移点，部分点位钻探设备无法进入需要移点，因此会耽误工期，增加成本，建议以后工作中方案编制阶段让采样单位也参与，以保证后续采样工作顺利进行。</w:t>
      </w:r>
    </w:p>
    <w:p w14:paraId="2C0F6C1B" w14:textId="77777777" w:rsidR="00DC57D8" w:rsidRDefault="00DC57D8">
      <w:pPr>
        <w:pStyle w:val="a0"/>
        <w:spacing w:before="93"/>
        <w:rPr>
          <w:rFonts w:ascii="仿宋" w:eastAsia="仿宋" w:hAnsi="仿宋" w:cs="仿宋"/>
          <w:sz w:val="32"/>
          <w:szCs w:val="32"/>
          <w:lang w:val="zh-CN"/>
        </w:rPr>
      </w:pPr>
    </w:p>
    <w:p w14:paraId="66B30F83" w14:textId="77777777" w:rsidR="00DC57D8" w:rsidRDefault="00DC57D8">
      <w:pPr>
        <w:pStyle w:val="a0"/>
        <w:spacing w:before="93"/>
        <w:rPr>
          <w:rFonts w:ascii="仿宋" w:eastAsia="仿宋" w:hAnsi="仿宋" w:cs="仿宋"/>
          <w:sz w:val="32"/>
          <w:szCs w:val="32"/>
          <w:lang w:val="zh-CN"/>
        </w:rPr>
      </w:pPr>
    </w:p>
    <w:p w14:paraId="7E670E45" w14:textId="77777777" w:rsidR="00DC57D8" w:rsidRDefault="00DC57D8">
      <w:pPr>
        <w:pStyle w:val="a0"/>
        <w:spacing w:before="93"/>
        <w:rPr>
          <w:rFonts w:ascii="仿宋" w:eastAsia="仿宋" w:hAnsi="仿宋" w:cs="仿宋"/>
          <w:sz w:val="32"/>
          <w:szCs w:val="32"/>
          <w:lang w:val="zh-CN"/>
        </w:rPr>
      </w:pPr>
    </w:p>
    <w:p w14:paraId="529B6CAB" w14:textId="77777777" w:rsidR="00DC57D8" w:rsidRDefault="00DC57D8">
      <w:pPr>
        <w:pStyle w:val="a0"/>
        <w:spacing w:before="93"/>
        <w:rPr>
          <w:rFonts w:ascii="仿宋" w:eastAsia="仿宋" w:hAnsi="仿宋" w:cs="仿宋"/>
          <w:sz w:val="32"/>
          <w:szCs w:val="32"/>
          <w:lang w:val="zh-CN"/>
        </w:rPr>
      </w:pPr>
    </w:p>
    <w:p w14:paraId="2FA4C2D9" w14:textId="77777777" w:rsidR="00DC57D8" w:rsidRDefault="00DC57D8">
      <w:pPr>
        <w:pStyle w:val="a0"/>
        <w:spacing w:before="93"/>
        <w:rPr>
          <w:rFonts w:ascii="仿宋" w:eastAsia="仿宋" w:hAnsi="仿宋" w:cs="仿宋"/>
          <w:sz w:val="32"/>
          <w:szCs w:val="32"/>
          <w:lang w:val="zh-CN"/>
        </w:rPr>
      </w:pPr>
    </w:p>
    <w:p w14:paraId="5ED3D9CB" w14:textId="77777777" w:rsidR="00DC57D8" w:rsidRDefault="00DC57D8">
      <w:pPr>
        <w:pStyle w:val="a0"/>
        <w:spacing w:before="93"/>
        <w:rPr>
          <w:rFonts w:ascii="仿宋" w:eastAsia="仿宋" w:hAnsi="仿宋" w:cs="仿宋"/>
          <w:sz w:val="32"/>
          <w:szCs w:val="32"/>
          <w:lang w:val="zh-CN"/>
        </w:rPr>
      </w:pPr>
    </w:p>
    <w:p w14:paraId="00572E38" w14:textId="77777777" w:rsidR="00DC57D8" w:rsidRDefault="00DC57D8">
      <w:pPr>
        <w:pStyle w:val="a0"/>
        <w:spacing w:before="93"/>
        <w:rPr>
          <w:rFonts w:ascii="仿宋" w:eastAsia="仿宋" w:hAnsi="仿宋" w:cs="仿宋"/>
          <w:sz w:val="32"/>
          <w:szCs w:val="32"/>
          <w:lang w:val="zh-CN"/>
        </w:rPr>
      </w:pPr>
    </w:p>
    <w:p w14:paraId="2B94DC48" w14:textId="77777777" w:rsidR="00DC57D8" w:rsidRDefault="00DC57D8">
      <w:pPr>
        <w:pStyle w:val="a0"/>
        <w:spacing w:before="93"/>
        <w:rPr>
          <w:rFonts w:ascii="仿宋" w:eastAsia="仿宋" w:hAnsi="仿宋" w:cs="仿宋"/>
          <w:sz w:val="32"/>
          <w:szCs w:val="32"/>
          <w:lang w:val="zh-CN"/>
        </w:rPr>
      </w:pPr>
    </w:p>
    <w:p w14:paraId="08D38A02" w14:textId="77777777" w:rsidR="00DC57D8" w:rsidRDefault="00DC57D8">
      <w:pPr>
        <w:pStyle w:val="a0"/>
        <w:spacing w:before="93"/>
        <w:rPr>
          <w:rFonts w:ascii="仿宋" w:eastAsia="仿宋" w:hAnsi="仿宋" w:cs="仿宋"/>
          <w:sz w:val="32"/>
          <w:szCs w:val="32"/>
          <w:lang w:val="zh-CN"/>
        </w:rPr>
      </w:pPr>
    </w:p>
    <w:p w14:paraId="3662140B" w14:textId="77777777" w:rsidR="00DC57D8" w:rsidRDefault="00DC57D8">
      <w:pPr>
        <w:pStyle w:val="a0"/>
        <w:spacing w:before="93"/>
        <w:rPr>
          <w:rFonts w:ascii="仿宋" w:eastAsia="仿宋" w:hAnsi="仿宋" w:cs="仿宋"/>
          <w:sz w:val="32"/>
          <w:szCs w:val="32"/>
          <w:lang w:val="zh-CN"/>
        </w:rPr>
      </w:pPr>
    </w:p>
    <w:p w14:paraId="6BA7AF01" w14:textId="77777777" w:rsidR="00DC57D8" w:rsidRDefault="00DC57D8">
      <w:pPr>
        <w:pStyle w:val="a0"/>
        <w:spacing w:before="93"/>
        <w:rPr>
          <w:rFonts w:ascii="仿宋" w:eastAsia="仿宋" w:hAnsi="仿宋" w:cs="仿宋"/>
          <w:sz w:val="32"/>
          <w:szCs w:val="32"/>
          <w:lang w:val="zh-CN"/>
        </w:rPr>
      </w:pPr>
    </w:p>
    <w:p w14:paraId="1AF19E5F" w14:textId="77777777" w:rsidR="00DC57D8" w:rsidRDefault="00DC57D8">
      <w:pPr>
        <w:pStyle w:val="a0"/>
        <w:spacing w:before="93"/>
        <w:rPr>
          <w:rFonts w:ascii="仿宋" w:eastAsia="仿宋" w:hAnsi="仿宋" w:cs="仿宋"/>
          <w:sz w:val="32"/>
          <w:szCs w:val="32"/>
          <w:lang w:val="zh-CN"/>
        </w:rPr>
      </w:pPr>
    </w:p>
    <w:p w14:paraId="4255504B" w14:textId="77777777" w:rsidR="00DC57D8" w:rsidRDefault="00DC57D8">
      <w:pPr>
        <w:pStyle w:val="a0"/>
        <w:spacing w:before="93"/>
        <w:rPr>
          <w:rFonts w:ascii="仿宋" w:eastAsia="仿宋" w:hAnsi="仿宋" w:cs="仿宋"/>
          <w:sz w:val="32"/>
          <w:szCs w:val="32"/>
          <w:lang w:val="zh-CN"/>
        </w:rPr>
      </w:pPr>
    </w:p>
    <w:p w14:paraId="5DF62669" w14:textId="77777777" w:rsidR="00DC57D8" w:rsidRDefault="00DC57D8">
      <w:pPr>
        <w:pStyle w:val="a0"/>
        <w:spacing w:before="93"/>
        <w:rPr>
          <w:rFonts w:ascii="仿宋" w:eastAsia="仿宋" w:hAnsi="仿宋" w:cs="仿宋"/>
          <w:sz w:val="32"/>
          <w:szCs w:val="32"/>
          <w:lang w:val="zh-CN"/>
        </w:rPr>
      </w:pPr>
    </w:p>
    <w:p w14:paraId="472C69D4" w14:textId="77777777" w:rsidR="00DC57D8" w:rsidRDefault="00DC57D8">
      <w:pPr>
        <w:pStyle w:val="a0"/>
        <w:spacing w:before="93"/>
        <w:rPr>
          <w:rFonts w:ascii="仿宋" w:eastAsia="仿宋" w:hAnsi="仿宋" w:cs="仿宋"/>
          <w:sz w:val="32"/>
          <w:szCs w:val="32"/>
          <w:lang w:val="zh-CN"/>
        </w:rPr>
      </w:pPr>
    </w:p>
    <w:p w14:paraId="0DE4C222" w14:textId="77777777" w:rsidR="00DC57D8" w:rsidRDefault="00000000">
      <w:pPr>
        <w:spacing w:line="600" w:lineRule="exact"/>
        <w:jc w:val="center"/>
        <w:outlineLvl w:val="0"/>
        <w:rPr>
          <w:rFonts w:ascii="仿宋" w:eastAsia="仿宋" w:hAnsi="仿宋"/>
          <w:color w:val="000000"/>
        </w:rPr>
      </w:pPr>
      <w:bookmarkStart w:id="85" w:name="_Toc119075197"/>
      <w:bookmarkEnd w:id="82"/>
      <w:bookmarkEnd w:id="84"/>
      <w:r>
        <w:rPr>
          <w:rFonts w:ascii="黑体" w:eastAsia="黑体" w:hAnsi="黑体" w:hint="eastAsia"/>
          <w:color w:val="000000"/>
          <w:sz w:val="44"/>
          <w:szCs w:val="44"/>
        </w:rPr>
        <w:t>第</w:t>
      </w:r>
      <w:r>
        <w:rPr>
          <w:rStyle w:val="10"/>
          <w:rFonts w:ascii="黑体" w:eastAsia="黑体" w:hAnsi="黑体" w:hint="eastAsia"/>
          <w:b w:val="0"/>
        </w:rPr>
        <w:t>五部分 附表</w:t>
      </w:r>
      <w:bookmarkStart w:id="86" w:name="_Toc15396619"/>
      <w:bookmarkEnd w:id="85"/>
    </w:p>
    <w:p w14:paraId="1BF85D35" w14:textId="77777777" w:rsidR="00DC57D8" w:rsidRDefault="00000000">
      <w:pPr>
        <w:pStyle w:val="2"/>
        <w:rPr>
          <w:rFonts w:ascii="仿宋" w:eastAsia="仿宋" w:hAnsi="仿宋"/>
          <w:color w:val="000000"/>
        </w:rPr>
      </w:pPr>
      <w:bookmarkStart w:id="87" w:name="_Toc119075198"/>
      <w:r>
        <w:rPr>
          <w:rFonts w:ascii="仿宋" w:eastAsia="仿宋" w:hAnsi="仿宋" w:hint="eastAsia"/>
          <w:b w:val="0"/>
          <w:color w:val="000000"/>
        </w:rPr>
        <w:lastRenderedPageBreak/>
        <w:t>一、收</w:t>
      </w:r>
      <w:r>
        <w:rPr>
          <w:rStyle w:val="20"/>
          <w:rFonts w:ascii="仿宋" w:eastAsia="仿宋" w:hAnsi="仿宋" w:hint="eastAsia"/>
        </w:rPr>
        <w:t>入支出决算总表</w:t>
      </w:r>
      <w:bookmarkEnd w:id="86"/>
      <w:bookmarkEnd w:id="87"/>
    </w:p>
    <w:p w14:paraId="221C7F57" w14:textId="77777777" w:rsidR="00DC57D8" w:rsidRDefault="00000000">
      <w:pPr>
        <w:pStyle w:val="2"/>
        <w:rPr>
          <w:rFonts w:ascii="仿宋" w:eastAsia="仿宋" w:hAnsi="仿宋"/>
          <w:color w:val="000000"/>
        </w:rPr>
      </w:pPr>
      <w:bookmarkStart w:id="88" w:name="_Toc15396620"/>
      <w:bookmarkStart w:id="89" w:name="_Toc119075199"/>
      <w:r>
        <w:rPr>
          <w:rFonts w:ascii="仿宋" w:eastAsia="仿宋" w:hAnsi="仿宋" w:hint="eastAsia"/>
          <w:b w:val="0"/>
          <w:color w:val="000000"/>
        </w:rPr>
        <w:t>二、收</w:t>
      </w:r>
      <w:r>
        <w:rPr>
          <w:rStyle w:val="20"/>
          <w:rFonts w:ascii="仿宋" w:eastAsia="仿宋" w:hAnsi="仿宋" w:hint="eastAsia"/>
        </w:rPr>
        <w:t>入决算表</w:t>
      </w:r>
      <w:bookmarkEnd w:id="88"/>
      <w:bookmarkEnd w:id="89"/>
    </w:p>
    <w:p w14:paraId="3A4DF237" w14:textId="77777777" w:rsidR="00DC57D8" w:rsidRDefault="00000000">
      <w:pPr>
        <w:pStyle w:val="2"/>
        <w:rPr>
          <w:rFonts w:ascii="仿宋" w:eastAsia="仿宋" w:hAnsi="仿宋"/>
          <w:color w:val="000000"/>
        </w:rPr>
      </w:pPr>
      <w:bookmarkStart w:id="90" w:name="_Toc15396621"/>
      <w:bookmarkStart w:id="91" w:name="_Toc119075200"/>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90"/>
      <w:bookmarkEnd w:id="91"/>
    </w:p>
    <w:p w14:paraId="5B51F801" w14:textId="77777777" w:rsidR="00DC57D8" w:rsidRDefault="00000000">
      <w:pPr>
        <w:pStyle w:val="2"/>
        <w:rPr>
          <w:rFonts w:ascii="仿宋" w:eastAsia="仿宋" w:hAnsi="仿宋"/>
          <w:b w:val="0"/>
          <w:color w:val="000000"/>
        </w:rPr>
      </w:pPr>
      <w:bookmarkStart w:id="92" w:name="_Toc15396622"/>
      <w:bookmarkStart w:id="93" w:name="_Toc119075201"/>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92"/>
      <w:bookmarkEnd w:id="93"/>
    </w:p>
    <w:p w14:paraId="72A417E6" w14:textId="77777777" w:rsidR="00DC57D8" w:rsidRDefault="00000000">
      <w:pPr>
        <w:pStyle w:val="2"/>
        <w:rPr>
          <w:rStyle w:val="20"/>
          <w:rFonts w:ascii="仿宋" w:eastAsia="仿宋" w:hAnsi="仿宋"/>
        </w:rPr>
      </w:pPr>
      <w:bookmarkStart w:id="94" w:name="_Toc15396623"/>
      <w:bookmarkStart w:id="95" w:name="_Toc119075202"/>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96" w:name="_Toc15396624"/>
      <w:bookmarkEnd w:id="94"/>
      <w:bookmarkEnd w:id="95"/>
    </w:p>
    <w:p w14:paraId="1C35D515" w14:textId="77777777" w:rsidR="00DC57D8" w:rsidRDefault="00000000">
      <w:pPr>
        <w:pStyle w:val="2"/>
        <w:rPr>
          <w:rFonts w:ascii="仿宋" w:eastAsia="仿宋" w:hAnsi="仿宋"/>
          <w:color w:val="000000"/>
        </w:rPr>
      </w:pPr>
      <w:bookmarkStart w:id="97" w:name="_Toc119075203"/>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96"/>
      <w:bookmarkEnd w:id="97"/>
    </w:p>
    <w:p w14:paraId="583C4A4A" w14:textId="77777777" w:rsidR="00DC57D8" w:rsidRDefault="00000000">
      <w:pPr>
        <w:pStyle w:val="2"/>
        <w:rPr>
          <w:rFonts w:ascii="仿宋" w:eastAsia="仿宋" w:hAnsi="仿宋"/>
          <w:color w:val="000000"/>
        </w:rPr>
      </w:pPr>
      <w:bookmarkStart w:id="98" w:name="_Toc15396625"/>
      <w:bookmarkStart w:id="99" w:name="_Toc119075204"/>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98"/>
      <w:bookmarkEnd w:id="99"/>
    </w:p>
    <w:p w14:paraId="1BFAD38C" w14:textId="77777777" w:rsidR="00DC57D8" w:rsidRDefault="00000000">
      <w:pPr>
        <w:pStyle w:val="2"/>
        <w:rPr>
          <w:rFonts w:ascii="仿宋" w:eastAsia="仿宋" w:hAnsi="仿宋"/>
          <w:color w:val="000000"/>
        </w:rPr>
      </w:pPr>
      <w:bookmarkStart w:id="100" w:name="_Toc15396626"/>
      <w:bookmarkStart w:id="101" w:name="_Toc119075205"/>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100"/>
      <w:bookmarkEnd w:id="101"/>
    </w:p>
    <w:p w14:paraId="00927376" w14:textId="77777777" w:rsidR="00DC57D8" w:rsidRDefault="00000000">
      <w:pPr>
        <w:pStyle w:val="2"/>
        <w:rPr>
          <w:rFonts w:ascii="仿宋" w:eastAsia="仿宋" w:hAnsi="仿宋"/>
          <w:color w:val="000000"/>
        </w:rPr>
      </w:pPr>
      <w:bookmarkStart w:id="102" w:name="_Toc15396627"/>
      <w:bookmarkStart w:id="103" w:name="_Toc119075206"/>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102"/>
      <w:bookmarkEnd w:id="103"/>
    </w:p>
    <w:p w14:paraId="0D6421EE" w14:textId="77777777" w:rsidR="00DC57D8" w:rsidRDefault="00000000">
      <w:pPr>
        <w:pStyle w:val="2"/>
        <w:rPr>
          <w:rFonts w:ascii="仿宋" w:eastAsia="仿宋" w:hAnsi="仿宋"/>
          <w:color w:val="000000"/>
        </w:rPr>
      </w:pPr>
      <w:bookmarkStart w:id="104" w:name="_Toc15396628"/>
      <w:bookmarkStart w:id="105" w:name="_Toc119075207"/>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104"/>
      <w:bookmarkEnd w:id="105"/>
    </w:p>
    <w:p w14:paraId="55765372" w14:textId="77777777" w:rsidR="00DC57D8" w:rsidRDefault="00000000">
      <w:pPr>
        <w:pStyle w:val="2"/>
        <w:rPr>
          <w:rFonts w:ascii="仿宋" w:eastAsia="仿宋" w:hAnsi="仿宋"/>
          <w:color w:val="000000"/>
        </w:rPr>
      </w:pPr>
      <w:bookmarkStart w:id="106" w:name="_Toc15396629"/>
      <w:bookmarkStart w:id="107" w:name="_Toc119075208"/>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106"/>
      <w:bookmarkEnd w:id="107"/>
    </w:p>
    <w:p w14:paraId="376C134B" w14:textId="77777777" w:rsidR="00DC57D8" w:rsidRDefault="00000000">
      <w:pPr>
        <w:pStyle w:val="2"/>
        <w:rPr>
          <w:rFonts w:ascii="仿宋" w:eastAsia="仿宋" w:hAnsi="仿宋"/>
          <w:color w:val="000000"/>
        </w:rPr>
      </w:pPr>
      <w:bookmarkStart w:id="108" w:name="_Toc15396630"/>
      <w:bookmarkStart w:id="109" w:name="_Toc119075209"/>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108"/>
      <w:bookmarkEnd w:id="109"/>
    </w:p>
    <w:p w14:paraId="482D025B" w14:textId="77777777" w:rsidR="00DC57D8" w:rsidRDefault="00000000">
      <w:pPr>
        <w:pStyle w:val="2"/>
        <w:rPr>
          <w:rStyle w:val="20"/>
          <w:rFonts w:ascii="仿宋" w:eastAsia="仿宋" w:hAnsi="仿宋"/>
        </w:rPr>
      </w:pPr>
      <w:bookmarkStart w:id="110" w:name="_Toc15396631"/>
      <w:bookmarkStart w:id="111" w:name="_Toc119075210"/>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有资本经营预算财政拨款收入支出决算表</w:t>
      </w:r>
      <w:bookmarkEnd w:id="110"/>
      <w:bookmarkEnd w:id="111"/>
    </w:p>
    <w:p w14:paraId="01C03C4C" w14:textId="77777777" w:rsidR="00DC57D8" w:rsidRDefault="00000000">
      <w:pPr>
        <w:rPr>
          <w:rFonts w:eastAsia="仿宋"/>
        </w:rPr>
      </w:pPr>
      <w:bookmarkStart w:id="112" w:name="_Toc119075211"/>
      <w:r>
        <w:rPr>
          <w:rStyle w:val="20"/>
          <w:rFonts w:ascii="仿宋" w:eastAsia="仿宋" w:hAnsi="仿宋" w:hint="eastAsia"/>
          <w:b w:val="0"/>
          <w:bCs w:val="0"/>
        </w:rPr>
        <w:t>十四、国有资本经营预算财政拨款支出决算表</w:t>
      </w:r>
      <w:bookmarkEnd w:id="112"/>
    </w:p>
    <w:p w14:paraId="46D5DDEA" w14:textId="77777777" w:rsidR="00DC57D8" w:rsidRDefault="00DC57D8">
      <w:pPr>
        <w:pStyle w:val="a0"/>
        <w:spacing w:before="93"/>
        <w:rPr>
          <w:rFonts w:ascii="仿宋" w:eastAsia="仿宋" w:hAnsi="仿宋" w:cs="仿宋"/>
          <w:sz w:val="32"/>
          <w:szCs w:val="32"/>
        </w:rPr>
      </w:pPr>
    </w:p>
    <w:sectPr w:rsidR="00DC57D8">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A857" w14:textId="77777777" w:rsidR="0083119B" w:rsidRDefault="0083119B">
      <w:r>
        <w:separator/>
      </w:r>
    </w:p>
  </w:endnote>
  <w:endnote w:type="continuationSeparator" w:id="0">
    <w:p w14:paraId="544C2C1B" w14:textId="77777777" w:rsidR="0083119B" w:rsidRDefault="0083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altName w:val="黑体"/>
    <w:charset w:val="86"/>
    <w:family w:val="script"/>
    <w:pitch w:val="default"/>
    <w:sig w:usb0="00000001"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3074" w14:textId="77777777" w:rsidR="00DC57D8" w:rsidRDefault="00000000">
    <w:pPr>
      <w:pStyle w:val="a7"/>
      <w:jc w:val="center"/>
    </w:pPr>
    <w:r>
      <w:rPr>
        <w:noProof/>
      </w:rPr>
      <mc:AlternateContent>
        <mc:Choice Requires="wps">
          <w:drawing>
            <wp:anchor distT="0" distB="0" distL="114300" distR="114300" simplePos="0" relativeHeight="251658240" behindDoc="0" locked="0" layoutInCell="1" allowOverlap="1" wp14:anchorId="0F57E2BF" wp14:editId="39A2859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14:paraId="6FB548BA" w14:textId="77777777" w:rsidR="00DC57D8" w:rsidRDefault="00000000">
                              <w:pPr>
                                <w:pStyle w:val="a7"/>
                                <w:jc w:val="center"/>
                              </w:pPr>
                              <w:r>
                                <w:fldChar w:fldCharType="begin"/>
                              </w:r>
                              <w:r>
                                <w:instrText>PAGE   \* MERGEFORMAT</w:instrText>
                              </w:r>
                              <w:r>
                                <w:fldChar w:fldCharType="separate"/>
                              </w:r>
                              <w:r>
                                <w:rPr>
                                  <w:lang w:val="zh-CN"/>
                                </w:rPr>
                                <w:t>8</w:t>
                              </w:r>
                              <w:r>
                                <w:fldChar w:fldCharType="end"/>
                              </w:r>
                            </w:p>
                          </w:sdtContent>
                        </w:sdt>
                        <w:p w14:paraId="18B3ECCD" w14:textId="77777777" w:rsidR="00DC57D8" w:rsidRDefault="00DC57D8">
                          <w:pPr>
                            <w:pStyle w:val="a0"/>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57E2BF"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1994781956"/>
                    </w:sdtPr>
                    <w:sdtContent>
                      <w:p w14:paraId="6FB548BA" w14:textId="77777777" w:rsidR="00DC57D8" w:rsidRDefault="00000000">
                        <w:pPr>
                          <w:pStyle w:val="a7"/>
                          <w:jc w:val="center"/>
                        </w:pPr>
                        <w:r>
                          <w:fldChar w:fldCharType="begin"/>
                        </w:r>
                        <w:r>
                          <w:instrText>PAGE   \* MERGEFORMAT</w:instrText>
                        </w:r>
                        <w:r>
                          <w:fldChar w:fldCharType="separate"/>
                        </w:r>
                        <w:r>
                          <w:rPr>
                            <w:lang w:val="zh-CN"/>
                          </w:rPr>
                          <w:t>8</w:t>
                        </w:r>
                        <w:r>
                          <w:fldChar w:fldCharType="end"/>
                        </w:r>
                      </w:p>
                    </w:sdtContent>
                  </w:sdt>
                  <w:p w14:paraId="18B3ECCD" w14:textId="77777777" w:rsidR="00DC57D8" w:rsidRDefault="00DC57D8">
                    <w:pPr>
                      <w:pStyle w:val="a0"/>
                      <w:spacing w:before="72"/>
                    </w:pPr>
                  </w:p>
                </w:txbxContent>
              </v:textbox>
              <w10:wrap anchorx="margin"/>
            </v:shape>
          </w:pict>
        </mc:Fallback>
      </mc:AlternateContent>
    </w:r>
  </w:p>
  <w:p w14:paraId="0B8DB799" w14:textId="77777777" w:rsidR="00DC57D8" w:rsidRDefault="00DC57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00FF" w14:textId="77777777" w:rsidR="00DC57D8" w:rsidRDefault="00000000">
    <w:pPr>
      <w:pStyle w:val="a7"/>
    </w:pPr>
    <w:r>
      <w:rPr>
        <w:noProof/>
      </w:rPr>
      <mc:AlternateContent>
        <mc:Choice Requires="wps">
          <w:drawing>
            <wp:anchor distT="0" distB="0" distL="114300" distR="114300" simplePos="0" relativeHeight="251659264" behindDoc="0" locked="0" layoutInCell="1" allowOverlap="1" wp14:anchorId="2AEBC148" wp14:editId="3162AF5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1EC66D5" w14:textId="77777777" w:rsidR="00DC57D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EBC148" id="_x0000_t202" coordsize="21600,21600" o:spt="202" path="m,l,21600r21600,l21600,xe">
              <v:stroke joinstyle="miter"/>
              <v:path gradientshapeok="t" o:connecttype="rect"/>
            </v:shapetype>
            <v:shape id="文本框 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1EC66D5" w14:textId="77777777" w:rsidR="00DC57D8"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BCAF" w14:textId="77777777" w:rsidR="0083119B" w:rsidRDefault="0083119B">
      <w:r>
        <w:separator/>
      </w:r>
    </w:p>
  </w:footnote>
  <w:footnote w:type="continuationSeparator" w:id="0">
    <w:p w14:paraId="0B28E00D" w14:textId="77777777" w:rsidR="0083119B" w:rsidRDefault="00831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1D31" w14:textId="77777777" w:rsidR="00DC57D8" w:rsidRDefault="00DC57D8">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E60E5E11"/>
    <w:multiLevelType w:val="singleLevel"/>
    <w:tmpl w:val="E60E5E11"/>
    <w:lvl w:ilvl="0">
      <w:start w:val="1"/>
      <w:numFmt w:val="decimal"/>
      <w:suff w:val="nothing"/>
      <w:lvlText w:val="（%1）"/>
      <w:lvlJc w:val="left"/>
    </w:lvl>
  </w:abstractNum>
  <w:abstractNum w:abstractNumId="4" w15:restartNumberingAfterBreak="0">
    <w:nsid w:val="0FABD146"/>
    <w:multiLevelType w:val="singleLevel"/>
    <w:tmpl w:val="0FABD146"/>
    <w:lvl w:ilvl="0">
      <w:start w:val="1"/>
      <w:numFmt w:val="decimal"/>
      <w:lvlText w:val="%1."/>
      <w:lvlJc w:val="left"/>
      <w:pPr>
        <w:tabs>
          <w:tab w:val="left" w:pos="312"/>
        </w:tabs>
      </w:pPr>
    </w:lvl>
  </w:abstractNum>
  <w:abstractNum w:abstractNumId="5"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3064A595"/>
    <w:multiLevelType w:val="singleLevel"/>
    <w:tmpl w:val="3064A595"/>
    <w:lvl w:ilvl="0">
      <w:start w:val="1"/>
      <w:numFmt w:val="chineseCounting"/>
      <w:suff w:val="nothing"/>
      <w:lvlText w:val="%1、"/>
      <w:lvlJc w:val="left"/>
      <w:rPr>
        <w:rFonts w:hint="eastAsia"/>
      </w:rPr>
    </w:lvl>
  </w:abstractNum>
  <w:abstractNum w:abstractNumId="7" w15:restartNumberingAfterBreak="0">
    <w:nsid w:val="4B7FB527"/>
    <w:multiLevelType w:val="singleLevel"/>
    <w:tmpl w:val="4B7FB527"/>
    <w:lvl w:ilvl="0">
      <w:start w:val="1"/>
      <w:numFmt w:val="decimal"/>
      <w:lvlText w:val="%1."/>
      <w:lvlJc w:val="left"/>
      <w:pPr>
        <w:tabs>
          <w:tab w:val="left" w:pos="312"/>
        </w:tabs>
      </w:pPr>
    </w:lvl>
  </w:abstractNum>
  <w:num w:numId="1" w16cid:durableId="793063206">
    <w:abstractNumId w:val="0"/>
  </w:num>
  <w:num w:numId="2" w16cid:durableId="1605185146">
    <w:abstractNumId w:val="5"/>
  </w:num>
  <w:num w:numId="3" w16cid:durableId="1463689670">
    <w:abstractNumId w:val="4"/>
  </w:num>
  <w:num w:numId="4" w16cid:durableId="1567757930">
    <w:abstractNumId w:val="1"/>
  </w:num>
  <w:num w:numId="5" w16cid:durableId="849754685">
    <w:abstractNumId w:val="7"/>
  </w:num>
  <w:num w:numId="6" w16cid:durableId="1247692077">
    <w:abstractNumId w:val="3"/>
  </w:num>
  <w:num w:numId="7" w16cid:durableId="635335784">
    <w:abstractNumId w:val="2"/>
  </w:num>
  <w:num w:numId="8" w16cid:durableId="1778595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3F4D"/>
    <w:rsid w:val="000E6613"/>
    <w:rsid w:val="000E7119"/>
    <w:rsid w:val="00114E9B"/>
    <w:rsid w:val="00131968"/>
    <w:rsid w:val="00142216"/>
    <w:rsid w:val="00144D6A"/>
    <w:rsid w:val="0014729F"/>
    <w:rsid w:val="00157BAB"/>
    <w:rsid w:val="001654D1"/>
    <w:rsid w:val="00174518"/>
    <w:rsid w:val="0018106D"/>
    <w:rsid w:val="001877A7"/>
    <w:rsid w:val="00191536"/>
    <w:rsid w:val="00196687"/>
    <w:rsid w:val="001B7EB6"/>
    <w:rsid w:val="001C0962"/>
    <w:rsid w:val="001D7531"/>
    <w:rsid w:val="001E737D"/>
    <w:rsid w:val="001F0592"/>
    <w:rsid w:val="001F7506"/>
    <w:rsid w:val="002006CD"/>
    <w:rsid w:val="00202B36"/>
    <w:rsid w:val="00204B7A"/>
    <w:rsid w:val="00204CDE"/>
    <w:rsid w:val="0021101A"/>
    <w:rsid w:val="00220536"/>
    <w:rsid w:val="00231793"/>
    <w:rsid w:val="00235629"/>
    <w:rsid w:val="002377AE"/>
    <w:rsid w:val="00260C38"/>
    <w:rsid w:val="002616C0"/>
    <w:rsid w:val="00265372"/>
    <w:rsid w:val="002662AA"/>
    <w:rsid w:val="00280496"/>
    <w:rsid w:val="00294DC9"/>
    <w:rsid w:val="00295495"/>
    <w:rsid w:val="002A31DE"/>
    <w:rsid w:val="002B2613"/>
    <w:rsid w:val="002D6D05"/>
    <w:rsid w:val="002F1818"/>
    <w:rsid w:val="002F567B"/>
    <w:rsid w:val="003216A9"/>
    <w:rsid w:val="0033382F"/>
    <w:rsid w:val="00335087"/>
    <w:rsid w:val="00335A74"/>
    <w:rsid w:val="0036561B"/>
    <w:rsid w:val="0037013F"/>
    <w:rsid w:val="00380C92"/>
    <w:rsid w:val="0038513A"/>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7CDA"/>
    <w:rsid w:val="00463C57"/>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22DB"/>
    <w:rsid w:val="005664BB"/>
    <w:rsid w:val="00566FFA"/>
    <w:rsid w:val="0057481D"/>
    <w:rsid w:val="0058486E"/>
    <w:rsid w:val="00585B33"/>
    <w:rsid w:val="0059014D"/>
    <w:rsid w:val="005953E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77277"/>
    <w:rsid w:val="00784D24"/>
    <w:rsid w:val="00785FBA"/>
    <w:rsid w:val="00786E4A"/>
    <w:rsid w:val="007875EB"/>
    <w:rsid w:val="0079426B"/>
    <w:rsid w:val="007C2A9A"/>
    <w:rsid w:val="007D1682"/>
    <w:rsid w:val="007D312A"/>
    <w:rsid w:val="007D3F19"/>
    <w:rsid w:val="007E23B0"/>
    <w:rsid w:val="007E23E5"/>
    <w:rsid w:val="007F1991"/>
    <w:rsid w:val="007F2C2F"/>
    <w:rsid w:val="007F55FC"/>
    <w:rsid w:val="007F5665"/>
    <w:rsid w:val="007F7BD0"/>
    <w:rsid w:val="00800112"/>
    <w:rsid w:val="00813348"/>
    <w:rsid w:val="00817E10"/>
    <w:rsid w:val="008253BB"/>
    <w:rsid w:val="0083119B"/>
    <w:rsid w:val="0083706E"/>
    <w:rsid w:val="008408F6"/>
    <w:rsid w:val="008423A5"/>
    <w:rsid w:val="00850625"/>
    <w:rsid w:val="00853718"/>
    <w:rsid w:val="00855221"/>
    <w:rsid w:val="00860645"/>
    <w:rsid w:val="008616FD"/>
    <w:rsid w:val="00871F71"/>
    <w:rsid w:val="00872FD8"/>
    <w:rsid w:val="00874829"/>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019D"/>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361D"/>
    <w:rsid w:val="00BB4DF0"/>
    <w:rsid w:val="00BC289F"/>
    <w:rsid w:val="00BC2D50"/>
    <w:rsid w:val="00BC5361"/>
    <w:rsid w:val="00BC5460"/>
    <w:rsid w:val="00BC6B50"/>
    <w:rsid w:val="00BD0E25"/>
    <w:rsid w:val="00BF5BD6"/>
    <w:rsid w:val="00C03E31"/>
    <w:rsid w:val="00C33E72"/>
    <w:rsid w:val="00C354B2"/>
    <w:rsid w:val="00C35554"/>
    <w:rsid w:val="00C42709"/>
    <w:rsid w:val="00C468AA"/>
    <w:rsid w:val="00C533CC"/>
    <w:rsid w:val="00C5751C"/>
    <w:rsid w:val="00C61BFC"/>
    <w:rsid w:val="00C62B85"/>
    <w:rsid w:val="00C65438"/>
    <w:rsid w:val="00C87FD8"/>
    <w:rsid w:val="00C91381"/>
    <w:rsid w:val="00C91CBB"/>
    <w:rsid w:val="00C97A1C"/>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32B4"/>
    <w:rsid w:val="00D51276"/>
    <w:rsid w:val="00D7035F"/>
    <w:rsid w:val="00DA634F"/>
    <w:rsid w:val="00DA65AC"/>
    <w:rsid w:val="00DB1913"/>
    <w:rsid w:val="00DC410D"/>
    <w:rsid w:val="00DC57D8"/>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588E"/>
    <w:rsid w:val="00ED6FBE"/>
    <w:rsid w:val="00EE2F57"/>
    <w:rsid w:val="00EF4C34"/>
    <w:rsid w:val="00EF77C6"/>
    <w:rsid w:val="00F05438"/>
    <w:rsid w:val="00F120B3"/>
    <w:rsid w:val="00F1361C"/>
    <w:rsid w:val="00F156F0"/>
    <w:rsid w:val="00F160C7"/>
    <w:rsid w:val="00F2408F"/>
    <w:rsid w:val="00F240E9"/>
    <w:rsid w:val="00F36D8F"/>
    <w:rsid w:val="00F417B1"/>
    <w:rsid w:val="00F45853"/>
    <w:rsid w:val="00F52416"/>
    <w:rsid w:val="00F602DF"/>
    <w:rsid w:val="00F754A1"/>
    <w:rsid w:val="00F81FD9"/>
    <w:rsid w:val="00F841AA"/>
    <w:rsid w:val="00F84A94"/>
    <w:rsid w:val="00F87E96"/>
    <w:rsid w:val="00FA23E8"/>
    <w:rsid w:val="00FD3CC1"/>
    <w:rsid w:val="00FF0EE9"/>
    <w:rsid w:val="00FF1E02"/>
    <w:rsid w:val="00FF30B4"/>
    <w:rsid w:val="017D1576"/>
    <w:rsid w:val="01CE42B3"/>
    <w:rsid w:val="01E82969"/>
    <w:rsid w:val="033B214D"/>
    <w:rsid w:val="03515443"/>
    <w:rsid w:val="036B3EC8"/>
    <w:rsid w:val="04387DE3"/>
    <w:rsid w:val="046475DB"/>
    <w:rsid w:val="04A6209A"/>
    <w:rsid w:val="04D5752B"/>
    <w:rsid w:val="04ED33F7"/>
    <w:rsid w:val="050B1D99"/>
    <w:rsid w:val="05E601BC"/>
    <w:rsid w:val="06CA52F7"/>
    <w:rsid w:val="07670B92"/>
    <w:rsid w:val="091D7EA2"/>
    <w:rsid w:val="093F49F6"/>
    <w:rsid w:val="09A722A9"/>
    <w:rsid w:val="0A2032A3"/>
    <w:rsid w:val="0A820CE8"/>
    <w:rsid w:val="0A90727E"/>
    <w:rsid w:val="0B5D6E7D"/>
    <w:rsid w:val="0BA51964"/>
    <w:rsid w:val="0BD72694"/>
    <w:rsid w:val="0D3C476C"/>
    <w:rsid w:val="0EBB433C"/>
    <w:rsid w:val="0F707843"/>
    <w:rsid w:val="0F9F5F2B"/>
    <w:rsid w:val="0FE806EC"/>
    <w:rsid w:val="10C055FF"/>
    <w:rsid w:val="111A4A8E"/>
    <w:rsid w:val="118107EC"/>
    <w:rsid w:val="11B82061"/>
    <w:rsid w:val="11F677E0"/>
    <w:rsid w:val="1261072A"/>
    <w:rsid w:val="12763987"/>
    <w:rsid w:val="13997A02"/>
    <w:rsid w:val="13BC3ED2"/>
    <w:rsid w:val="13F62177"/>
    <w:rsid w:val="14AB6FF8"/>
    <w:rsid w:val="15321E9F"/>
    <w:rsid w:val="15DC4FA4"/>
    <w:rsid w:val="16B25C7A"/>
    <w:rsid w:val="16BB723D"/>
    <w:rsid w:val="1749483F"/>
    <w:rsid w:val="17B93E0A"/>
    <w:rsid w:val="18015F3F"/>
    <w:rsid w:val="19150E81"/>
    <w:rsid w:val="197B11A1"/>
    <w:rsid w:val="1A2E4DC8"/>
    <w:rsid w:val="1A754AD0"/>
    <w:rsid w:val="1A80508A"/>
    <w:rsid w:val="1B0C4E4B"/>
    <w:rsid w:val="1B205239"/>
    <w:rsid w:val="1B4B41F4"/>
    <w:rsid w:val="1BE8440E"/>
    <w:rsid w:val="1C145D8A"/>
    <w:rsid w:val="1CC469E8"/>
    <w:rsid w:val="1D155CEE"/>
    <w:rsid w:val="1F6E22FF"/>
    <w:rsid w:val="1FA7207A"/>
    <w:rsid w:val="20C16F64"/>
    <w:rsid w:val="20F57F95"/>
    <w:rsid w:val="22DE6650"/>
    <w:rsid w:val="23AF6706"/>
    <w:rsid w:val="240371BF"/>
    <w:rsid w:val="245B247D"/>
    <w:rsid w:val="2630237D"/>
    <w:rsid w:val="267A308A"/>
    <w:rsid w:val="276205F9"/>
    <w:rsid w:val="278F5F14"/>
    <w:rsid w:val="27947C8B"/>
    <w:rsid w:val="287366E7"/>
    <w:rsid w:val="28EF36C4"/>
    <w:rsid w:val="29FD04D3"/>
    <w:rsid w:val="2ABE7A3E"/>
    <w:rsid w:val="2C743806"/>
    <w:rsid w:val="2CDD5EBD"/>
    <w:rsid w:val="2D887967"/>
    <w:rsid w:val="2DBC79A7"/>
    <w:rsid w:val="2EB651B7"/>
    <w:rsid w:val="2EE35E1A"/>
    <w:rsid w:val="2F6C2DBD"/>
    <w:rsid w:val="30037022"/>
    <w:rsid w:val="311162E7"/>
    <w:rsid w:val="319F7F4E"/>
    <w:rsid w:val="31F73417"/>
    <w:rsid w:val="32DA0BC5"/>
    <w:rsid w:val="337F1D99"/>
    <w:rsid w:val="33CB0A3A"/>
    <w:rsid w:val="34560DFE"/>
    <w:rsid w:val="355E092A"/>
    <w:rsid w:val="3574477A"/>
    <w:rsid w:val="37F85434"/>
    <w:rsid w:val="38893689"/>
    <w:rsid w:val="38E5152D"/>
    <w:rsid w:val="394C7B10"/>
    <w:rsid w:val="3956627E"/>
    <w:rsid w:val="39867BB6"/>
    <w:rsid w:val="3A736F1B"/>
    <w:rsid w:val="3AA832A0"/>
    <w:rsid w:val="3C0C0783"/>
    <w:rsid w:val="3D0D2F9F"/>
    <w:rsid w:val="3D9B2C7E"/>
    <w:rsid w:val="3EDB22DC"/>
    <w:rsid w:val="3F2A3697"/>
    <w:rsid w:val="3F6E44D3"/>
    <w:rsid w:val="4066321B"/>
    <w:rsid w:val="407E624F"/>
    <w:rsid w:val="40F104E9"/>
    <w:rsid w:val="413056DD"/>
    <w:rsid w:val="41432B09"/>
    <w:rsid w:val="41C137B1"/>
    <w:rsid w:val="432B6C6D"/>
    <w:rsid w:val="43C01C32"/>
    <w:rsid w:val="444B1BCA"/>
    <w:rsid w:val="44BD653C"/>
    <w:rsid w:val="44E50556"/>
    <w:rsid w:val="45060E16"/>
    <w:rsid w:val="45F2419D"/>
    <w:rsid w:val="47133DC7"/>
    <w:rsid w:val="47320EC1"/>
    <w:rsid w:val="477D11A0"/>
    <w:rsid w:val="47A4406F"/>
    <w:rsid w:val="47F33D03"/>
    <w:rsid w:val="47F61DD0"/>
    <w:rsid w:val="496F39ED"/>
    <w:rsid w:val="49911A46"/>
    <w:rsid w:val="49990C67"/>
    <w:rsid w:val="49B37515"/>
    <w:rsid w:val="4BC52E35"/>
    <w:rsid w:val="4BE068DB"/>
    <w:rsid w:val="4BF6002B"/>
    <w:rsid w:val="4BFC050D"/>
    <w:rsid w:val="4C250CC3"/>
    <w:rsid w:val="4CD856A5"/>
    <w:rsid w:val="4D7412D5"/>
    <w:rsid w:val="4E501370"/>
    <w:rsid w:val="4E8647FF"/>
    <w:rsid w:val="4EB8117A"/>
    <w:rsid w:val="4ECE2238"/>
    <w:rsid w:val="500D560E"/>
    <w:rsid w:val="501D0966"/>
    <w:rsid w:val="50322782"/>
    <w:rsid w:val="50B5743A"/>
    <w:rsid w:val="50B81627"/>
    <w:rsid w:val="5170747B"/>
    <w:rsid w:val="52985D69"/>
    <w:rsid w:val="52DB39F0"/>
    <w:rsid w:val="53BE41AD"/>
    <w:rsid w:val="540B606D"/>
    <w:rsid w:val="54157B17"/>
    <w:rsid w:val="54791313"/>
    <w:rsid w:val="550176F3"/>
    <w:rsid w:val="556523D5"/>
    <w:rsid w:val="55891400"/>
    <w:rsid w:val="570C649D"/>
    <w:rsid w:val="57A71D58"/>
    <w:rsid w:val="582D104E"/>
    <w:rsid w:val="59D564C0"/>
    <w:rsid w:val="59E92E6E"/>
    <w:rsid w:val="5A7703C5"/>
    <w:rsid w:val="5AA27CC0"/>
    <w:rsid w:val="5ABD6808"/>
    <w:rsid w:val="5BBA4CD1"/>
    <w:rsid w:val="5BE652EE"/>
    <w:rsid w:val="5C441C86"/>
    <w:rsid w:val="5C5929D7"/>
    <w:rsid w:val="5C897C78"/>
    <w:rsid w:val="5CA31DAE"/>
    <w:rsid w:val="5E5B1CB3"/>
    <w:rsid w:val="5E7D278B"/>
    <w:rsid w:val="5E8B63A1"/>
    <w:rsid w:val="5F255342"/>
    <w:rsid w:val="60441E25"/>
    <w:rsid w:val="607F0685"/>
    <w:rsid w:val="620C4502"/>
    <w:rsid w:val="62B81F83"/>
    <w:rsid w:val="632435F9"/>
    <w:rsid w:val="6341301B"/>
    <w:rsid w:val="636B45EE"/>
    <w:rsid w:val="636B57F9"/>
    <w:rsid w:val="63F81EEF"/>
    <w:rsid w:val="64324B99"/>
    <w:rsid w:val="64A52DF2"/>
    <w:rsid w:val="64CA39A1"/>
    <w:rsid w:val="64D97C72"/>
    <w:rsid w:val="654C2A9D"/>
    <w:rsid w:val="66B2182F"/>
    <w:rsid w:val="67194A26"/>
    <w:rsid w:val="67962C80"/>
    <w:rsid w:val="697114CC"/>
    <w:rsid w:val="69FC4C7A"/>
    <w:rsid w:val="6AEA41B6"/>
    <w:rsid w:val="6AFD47D3"/>
    <w:rsid w:val="6BBF5BA3"/>
    <w:rsid w:val="6BD77B15"/>
    <w:rsid w:val="6C3E3FED"/>
    <w:rsid w:val="6C4A05C8"/>
    <w:rsid w:val="6C907474"/>
    <w:rsid w:val="6D2C43EC"/>
    <w:rsid w:val="6DAE1C37"/>
    <w:rsid w:val="6DC44D26"/>
    <w:rsid w:val="6E6B54E3"/>
    <w:rsid w:val="6E793E5E"/>
    <w:rsid w:val="6F3C114A"/>
    <w:rsid w:val="702410D8"/>
    <w:rsid w:val="70554A65"/>
    <w:rsid w:val="709C026A"/>
    <w:rsid w:val="71EC79AE"/>
    <w:rsid w:val="72734D90"/>
    <w:rsid w:val="73CA6DE0"/>
    <w:rsid w:val="742D16C9"/>
    <w:rsid w:val="74D02A11"/>
    <w:rsid w:val="756605BD"/>
    <w:rsid w:val="75774447"/>
    <w:rsid w:val="75F63FF3"/>
    <w:rsid w:val="76B06C42"/>
    <w:rsid w:val="76DD26F0"/>
    <w:rsid w:val="774C0BF3"/>
    <w:rsid w:val="77C70676"/>
    <w:rsid w:val="78151993"/>
    <w:rsid w:val="78DA1077"/>
    <w:rsid w:val="795D1D0E"/>
    <w:rsid w:val="7A043868"/>
    <w:rsid w:val="7A187391"/>
    <w:rsid w:val="7A305E05"/>
    <w:rsid w:val="7A507A90"/>
    <w:rsid w:val="7ACD587A"/>
    <w:rsid w:val="7C2B4FF2"/>
    <w:rsid w:val="7C644250"/>
    <w:rsid w:val="7C72650F"/>
    <w:rsid w:val="7CA9088A"/>
    <w:rsid w:val="7CB83B24"/>
    <w:rsid w:val="7DB839D6"/>
    <w:rsid w:val="7EC2512B"/>
    <w:rsid w:val="7FB56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52D5AA"/>
  <w15:docId w15:val="{6416C4EB-9B07-41FD-9978-4466B2FC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basedOn w:val="a1"/>
    <w:uiPriority w:val="99"/>
    <w:qFormat/>
    <w:rPr>
      <w:b/>
    </w:rPr>
  </w:style>
  <w:style w:type="character" w:styleId="ad">
    <w:name w:val="page number"/>
    <w:basedOn w:val="a1"/>
    <w:qFormat/>
  </w:style>
  <w:style w:type="character" w:styleId="ae">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0">
    <w:name w:val="四号正文"/>
    <w:basedOn w:val="a"/>
    <w:qFormat/>
    <w:pPr>
      <w:spacing w:line="360" w:lineRule="auto"/>
    </w:pPr>
    <w:rPr>
      <w:rFonts w:ascii="??" w:hAnsi="??"/>
      <w:color w:val="000000"/>
      <w:kern w:val="0"/>
      <w:sz w:val="28"/>
      <w:szCs w:val="21"/>
    </w:rPr>
  </w:style>
  <w:style w:type="character" w:customStyle="1" w:styleId="font31">
    <w:name w:val="font31"/>
    <w:basedOn w:val="a1"/>
    <w:qFormat/>
    <w:rPr>
      <w:rFonts w:ascii="宋体" w:eastAsia="宋体" w:hAnsi="宋体" w:cs="宋体" w:hint="eastAsia"/>
      <w:color w:val="000000"/>
      <w:sz w:val="24"/>
      <w:szCs w:val="24"/>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41">
    <w:name w:val="font41"/>
    <w:basedOn w:val="a1"/>
    <w:qFormat/>
    <w:rPr>
      <w:rFonts w:ascii="宋体" w:eastAsia="宋体" w:hAnsi="宋体" w:cs="宋体" w:hint="eastAsia"/>
      <w:color w:val="000000"/>
      <w:sz w:val="24"/>
      <w:szCs w:val="24"/>
      <w:u w:val="none"/>
    </w:rPr>
  </w:style>
  <w:style w:type="paragraph" w:styleId="TOC">
    <w:name w:val="TOC Heading"/>
    <w:basedOn w:val="1"/>
    <w:next w:val="a"/>
    <w:uiPriority w:val="39"/>
    <w:unhideWhenUsed/>
    <w:qFormat/>
    <w:rsid w:val="00447CD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3).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ltLang="zh-CN"/>
                      <a:t>11,026.05</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C20-47D1-93D9-626CF773F217}"/>
                </c:ext>
              </c:extLst>
            </c:dLbl>
            <c:dLbl>
              <c:idx val="1"/>
              <c:tx>
                <c:rich>
                  <a:bodyPr/>
                  <a:lstStyle/>
                  <a:p>
                    <a:r>
                      <a:rPr lang="en-US" altLang="zh-CN"/>
                      <a:t>12,351.95</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C20-47D1-93D9-626CF773F21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(3).xls]Sheet2'!$B$1:$C$1</c:f>
              <c:strCache>
                <c:ptCount val="2"/>
                <c:pt idx="0">
                  <c:v>2019年</c:v>
                </c:pt>
                <c:pt idx="1">
                  <c:v>2020年</c:v>
                </c:pt>
              </c:strCache>
            </c:strRef>
          </c:cat>
          <c:val>
            <c:numRef>
              <c:f>'[新建 XLS 工作表 (3).xls]Sheet2'!$B$2:$C$2</c:f>
              <c:numCache>
                <c:formatCode>_(* #,##0.00_);_(* \(#,##0.00\);_(* "-"??_);_(@_)</c:formatCode>
                <c:ptCount val="2"/>
                <c:pt idx="0">
                  <c:v>11026.052185</c:v>
                </c:pt>
                <c:pt idx="1">
                  <c:v>12351.951512</c:v>
                </c:pt>
              </c:numCache>
            </c:numRef>
          </c:val>
          <c:extLst>
            <c:ext xmlns:c16="http://schemas.microsoft.com/office/drawing/2014/chart" uri="{C3380CC4-5D6E-409C-BE32-E72D297353CC}">
              <c16:uniqueId val="{00000002-5C20-47D1-93D9-626CF773F217}"/>
            </c:ext>
          </c:extLst>
        </c:ser>
        <c:dLbls>
          <c:showLegendKey val="0"/>
          <c:showVal val="0"/>
          <c:showCatName val="0"/>
          <c:showSerName val="0"/>
          <c:showPercent val="0"/>
          <c:showBubbleSize val="0"/>
        </c:dLbls>
        <c:gapWidth val="219"/>
        <c:overlap val="-27"/>
        <c:axId val="287052723"/>
        <c:axId val="544573870"/>
      </c:barChart>
      <c:catAx>
        <c:axId val="2870527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4573870"/>
        <c:crosses val="autoZero"/>
        <c:auto val="1"/>
        <c:lblAlgn val="ctr"/>
        <c:lblOffset val="100"/>
        <c:noMultiLvlLbl val="0"/>
      </c:catAx>
      <c:valAx>
        <c:axId val="544573870"/>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70527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34-4FAF-9CC8-93D92383EEA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34-4FAF-9CC8-93D92383EEA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34-4FAF-9CC8-93D92383EEAD}"/>
              </c:ext>
            </c:extLst>
          </c:dPt>
          <c:dLbls>
            <c:dLbl>
              <c:idx val="0"/>
              <c:layout>
                <c:manualLayout>
                  <c:x val="-0.14396639338365999"/>
                  <c:y val="0.121524399139775"/>
                </c:manualLayout>
              </c:layout>
              <c:tx>
                <c:rich>
                  <a:bodyPr/>
                  <a:lstStyle/>
                  <a:p>
                    <a:r>
                      <a:rPr lang="zh-CN" altLang="en-US"/>
                      <a:t>一般公共预算财政拨款收入</a:t>
                    </a:r>
                    <a:r>
                      <a:rPr lang="en-US" altLang="zh-CN"/>
                      <a:t>5,174.70</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5833333333333"/>
                      <c:h val="0.390972222222222"/>
                    </c:manualLayout>
                  </c15:layout>
                  <c15:showDataLabelsRange val="0"/>
                </c:ext>
                <c:ext xmlns:c16="http://schemas.microsoft.com/office/drawing/2014/chart" uri="{C3380CC4-5D6E-409C-BE32-E72D297353CC}">
                  <c16:uniqueId val="{00000001-B434-4FAF-9CC8-93D92383EEAD}"/>
                </c:ext>
              </c:extLst>
            </c:dLbl>
            <c:dLbl>
              <c:idx val="1"/>
              <c:layout>
                <c:manualLayout>
                  <c:x val="0.109965161616847"/>
                  <c:y val="-0.15475752094228101"/>
                </c:manualLayout>
              </c:layout>
              <c:tx>
                <c:rich>
                  <a:bodyPr/>
                  <a:lstStyle/>
                  <a:p>
                    <a:r>
                      <a:rPr lang="zh-CN" altLang="en-US"/>
                      <a:t>经营收入</a:t>
                    </a:r>
                    <a:r>
                      <a:rPr lang="en-US" altLang="zh-CN"/>
                      <a:t>4351.8</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9.4027777777777793E-2"/>
                      <c:h val="0.170601851851852"/>
                    </c:manualLayout>
                  </c15:layout>
                  <c15:showDataLabelsRange val="0"/>
                </c:ext>
                <c:ext xmlns:c16="http://schemas.microsoft.com/office/drawing/2014/chart" uri="{C3380CC4-5D6E-409C-BE32-E72D297353CC}">
                  <c16:uniqueId val="{00000003-B434-4FAF-9CC8-93D92383EEAD}"/>
                </c:ext>
              </c:extLst>
            </c:dLbl>
            <c:dLbl>
              <c:idx val="2"/>
              <c:layout>
                <c:manualLayout>
                  <c:x val="9.0689831194064097E-2"/>
                  <c:y val="0.177600652901622"/>
                </c:manualLayout>
              </c:layout>
              <c:tx>
                <c:rich>
                  <a:bodyPr/>
                  <a:lstStyle/>
                  <a:p>
                    <a:r>
                      <a:rPr lang="zh-CN" altLang="en-US"/>
                      <a:t>其他收入</a:t>
                    </a:r>
                    <a:r>
                      <a:rPr lang="en-US" altLang="zh-CN"/>
                      <a:t>2316.54</a:t>
                    </a:r>
                    <a:r>
                      <a:rPr lang="zh-CN" altLang="en-US"/>
                      <a:t>万元</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9.8750000000000004E-2"/>
                      <c:h val="0.186342592592593"/>
                    </c:manualLayout>
                  </c15:layout>
                  <c15:showDataLabelsRange val="0"/>
                </c:ext>
                <c:ext xmlns:c16="http://schemas.microsoft.com/office/drawing/2014/chart" uri="{C3380CC4-5D6E-409C-BE32-E72D297353CC}">
                  <c16:uniqueId val="{00000005-B434-4FAF-9CC8-93D92383EEAD}"/>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 工作表 (3).xls]Sheet2'!$A$2:$A$4</c:f>
              <c:strCache>
                <c:ptCount val="3"/>
                <c:pt idx="0">
                  <c:v>一般公共预算财政拨款收入</c:v>
                </c:pt>
                <c:pt idx="1">
                  <c:v>经营收入</c:v>
                </c:pt>
                <c:pt idx="2">
                  <c:v>其他收入</c:v>
                </c:pt>
              </c:strCache>
            </c:strRef>
          </c:cat>
          <c:val>
            <c:numRef>
              <c:f>'[新建 XLS 工作表 (3).xls]Sheet2'!$B$2:$B$4</c:f>
              <c:numCache>
                <c:formatCode>General</c:formatCode>
                <c:ptCount val="3"/>
                <c:pt idx="0" formatCode="_(* #,##0.00_);_(* \(#,##0.00\);_(* &quot;-&quot;??_);_(@_)">
                  <c:v>5174.7</c:v>
                </c:pt>
                <c:pt idx="1">
                  <c:v>4351.8</c:v>
                </c:pt>
                <c:pt idx="2">
                  <c:v>2316.54</c:v>
                </c:pt>
              </c:numCache>
            </c:numRef>
          </c:val>
          <c:extLst>
            <c:ext xmlns:c16="http://schemas.microsoft.com/office/drawing/2014/chart" uri="{C3380CC4-5D6E-409C-BE32-E72D297353CC}">
              <c16:uniqueId val="{00000006-B434-4FAF-9CC8-93D92383EEA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49-42A3-82A2-C077F1FF8B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49-42A3-82A2-C077F1FF8B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49-42A3-82A2-C077F1FF8B13}"/>
              </c:ext>
            </c:extLst>
          </c:dPt>
          <c:dLbls>
            <c:dLbl>
              <c:idx val="0"/>
              <c:layout>
                <c:manualLayout>
                  <c:x val="-0.143650054843658"/>
                  <c:y val="0.149274820731535"/>
                </c:manualLayout>
              </c:layout>
              <c:tx>
                <c:rich>
                  <a:bodyPr/>
                  <a:lstStyle/>
                  <a:p>
                    <a:r>
                      <a:rPr lang="zh-CN" altLang="en-US"/>
                      <a:t>基本支出</a:t>
                    </a:r>
                    <a:r>
                      <a:rPr lang="en-US" altLang="zh-CN"/>
                      <a:t>31.35%</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68888888888889"/>
                      <c:h val="0.15810185185185199"/>
                    </c:manualLayout>
                  </c15:layout>
                  <c15:showDataLabelsRange val="0"/>
                </c:ext>
                <c:ext xmlns:c16="http://schemas.microsoft.com/office/drawing/2014/chart" uri="{C3380CC4-5D6E-409C-BE32-E72D297353CC}">
                  <c16:uniqueId val="{00000001-CA49-42A3-82A2-C077F1FF8B13}"/>
                </c:ext>
              </c:extLst>
            </c:dLbl>
            <c:dLbl>
              <c:idx val="1"/>
              <c:layout>
                <c:manualLayout>
                  <c:x val="0.04"/>
                  <c:y val="-0.24444444444444399"/>
                </c:manualLayout>
              </c:layout>
              <c:tx>
                <c:rich>
                  <a:bodyPr/>
                  <a:lstStyle/>
                  <a:p>
                    <a:r>
                      <a:rPr lang="zh-CN" altLang="en-US"/>
                      <a:t>项目支出占</a:t>
                    </a:r>
                    <a:r>
                      <a:rPr lang="en-US" altLang="zh-CN"/>
                      <a:t>44.08%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6722222222222199"/>
                      <c:h val="0.17638888888888901"/>
                    </c:manualLayout>
                  </c15:layout>
                  <c15:showDataLabelsRange val="0"/>
                </c:ext>
                <c:ext xmlns:c16="http://schemas.microsoft.com/office/drawing/2014/chart" uri="{C3380CC4-5D6E-409C-BE32-E72D297353CC}">
                  <c16:uniqueId val="{00000003-CA49-42A3-82A2-C077F1FF8B13}"/>
                </c:ext>
              </c:extLst>
            </c:dLbl>
            <c:dLbl>
              <c:idx val="2"/>
              <c:layout>
                <c:manualLayout>
                  <c:x val="0.103994367122916"/>
                  <c:y val="0.17238332754271299"/>
                </c:manualLayout>
              </c:layout>
              <c:tx>
                <c:rich>
                  <a:bodyPr/>
                  <a:lstStyle/>
                  <a:p>
                    <a:r>
                      <a:rPr lang="zh-CN" altLang="en-US"/>
                      <a:t>经营支出占</a:t>
                    </a:r>
                    <a:r>
                      <a:rPr lang="en-US" altLang="zh-CN"/>
                      <a:t>24.57%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7083333333333"/>
                      <c:h val="0.17430555555555599"/>
                    </c:manualLayout>
                  </c15:layout>
                  <c15:showDataLabelsRange val="0"/>
                </c:ext>
                <c:ext xmlns:c16="http://schemas.microsoft.com/office/drawing/2014/chart" uri="{C3380CC4-5D6E-409C-BE32-E72D297353CC}">
                  <c16:uniqueId val="{00000005-CA49-42A3-82A2-C077F1FF8B13}"/>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 工作表 (3).xls]Sheet2'!$A$10:$A$12</c:f>
              <c:strCache>
                <c:ptCount val="3"/>
                <c:pt idx="0">
                  <c:v>基本支出</c:v>
                </c:pt>
                <c:pt idx="1">
                  <c:v>项目支出</c:v>
                </c:pt>
                <c:pt idx="2">
                  <c:v>经营支出</c:v>
                </c:pt>
              </c:strCache>
            </c:strRef>
          </c:cat>
          <c:val>
            <c:numRef>
              <c:f>'[新建 XLS 工作表 (3).xls]Sheet2'!$B$10:$B$12</c:f>
              <c:numCache>
                <c:formatCode>0.00%</c:formatCode>
                <c:ptCount val="3"/>
                <c:pt idx="0">
                  <c:v>0.31346122573165702</c:v>
                </c:pt>
                <c:pt idx="1">
                  <c:v>0.440821700790541</c:v>
                </c:pt>
                <c:pt idx="2">
                  <c:v>0.245717073477802</c:v>
                </c:pt>
              </c:numCache>
            </c:numRef>
          </c:val>
          <c:extLst>
            <c:ext xmlns:c16="http://schemas.microsoft.com/office/drawing/2014/chart" uri="{C3380CC4-5D6E-409C-BE32-E72D297353CC}">
              <c16:uniqueId val="{00000006-CA49-42A3-82A2-C077F1FF8B13}"/>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0638888888888899"/>
          <c:y val="0.8701388888888890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7444444444444394E-2"/>
          <c:y val="0.17490671641791"/>
          <c:w val="0.88200000000000001"/>
          <c:h val="0.70951492537313399"/>
        </c:manualLayout>
      </c:layout>
      <c:barChart>
        <c:barDir val="col"/>
        <c:grouping val="clustered"/>
        <c:varyColors val="0"/>
        <c:ser>
          <c:idx val="0"/>
          <c:order val="0"/>
          <c:spPr>
            <a:solidFill>
              <a:schemeClr val="accent1"/>
            </a:solidFill>
            <a:ln>
              <a:noFill/>
            </a:ln>
            <a:effectLst/>
          </c:spPr>
          <c:invertIfNegative val="0"/>
          <c:dLbls>
            <c:dLbl>
              <c:idx val="0"/>
              <c:layout>
                <c:manualLayout>
                  <c:x val="0"/>
                  <c:y val="-2.7777777777777801E-3"/>
                </c:manualLayout>
              </c:layout>
              <c:tx>
                <c:rich>
                  <a:bodyPr/>
                  <a:lstStyle/>
                  <a:p>
                    <a:r>
                      <a:rPr lang="en-US" altLang="zh-CN"/>
                      <a:t>4213.76</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826-4788-ABB6-174DE7313215}"/>
                </c:ext>
              </c:extLst>
            </c:dLbl>
            <c:dLbl>
              <c:idx val="1"/>
              <c:layout>
                <c:manualLayout>
                  <c:x val="0"/>
                  <c:y val="-2.7777777777777801E-3"/>
                </c:manualLayout>
              </c:layout>
              <c:tx>
                <c:rich>
                  <a:bodyPr/>
                  <a:lstStyle/>
                  <a:p>
                    <a:r>
                      <a:rPr lang="en-US" altLang="zh-CN"/>
                      <a:t>5174.7</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826-4788-ABB6-174DE7313215}"/>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(3).xls]Sheet2'!$B$15:$C$15</c:f>
              <c:strCache>
                <c:ptCount val="2"/>
                <c:pt idx="0">
                  <c:v>2019年</c:v>
                </c:pt>
                <c:pt idx="1">
                  <c:v>2020年</c:v>
                </c:pt>
              </c:strCache>
            </c:strRef>
          </c:cat>
          <c:val>
            <c:numRef>
              <c:f>'[新建 XLS 工作表 (3).xls]Sheet2'!$B$16:$C$16</c:f>
              <c:numCache>
                <c:formatCode>General</c:formatCode>
                <c:ptCount val="2"/>
                <c:pt idx="0">
                  <c:v>4213.76</c:v>
                </c:pt>
                <c:pt idx="1">
                  <c:v>5174.7</c:v>
                </c:pt>
              </c:numCache>
            </c:numRef>
          </c:val>
          <c:extLst>
            <c:ext xmlns:c16="http://schemas.microsoft.com/office/drawing/2014/chart" uri="{C3380CC4-5D6E-409C-BE32-E72D297353CC}">
              <c16:uniqueId val="{00000002-5826-4788-ABB6-174DE7313215}"/>
            </c:ext>
          </c:extLst>
        </c:ser>
        <c:dLbls>
          <c:showLegendKey val="0"/>
          <c:showVal val="0"/>
          <c:showCatName val="0"/>
          <c:showSerName val="0"/>
          <c:showPercent val="0"/>
          <c:showBubbleSize val="0"/>
        </c:dLbls>
        <c:gapWidth val="219"/>
        <c:overlap val="-27"/>
        <c:axId val="156071986"/>
        <c:axId val="427640741"/>
      </c:barChart>
      <c:catAx>
        <c:axId val="1560719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27640741"/>
        <c:crosses val="autoZero"/>
        <c:auto val="1"/>
        <c:lblAlgn val="ctr"/>
        <c:lblOffset val="100"/>
        <c:noMultiLvlLbl val="0"/>
      </c:catAx>
      <c:valAx>
        <c:axId val="4276407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0719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8.7444444444444394E-2"/>
          <c:y val="0.17490671641791"/>
          <c:w val="0.88200000000000001"/>
          <c:h val="0.70951492537313399"/>
        </c:manualLayout>
      </c:layout>
      <c:barChart>
        <c:barDir val="col"/>
        <c:grouping val="clustered"/>
        <c:varyColors val="0"/>
        <c:ser>
          <c:idx val="0"/>
          <c:order val="0"/>
          <c:spPr>
            <a:solidFill>
              <a:schemeClr val="accent1"/>
            </a:solidFill>
            <a:ln>
              <a:noFill/>
            </a:ln>
            <a:effectLst/>
          </c:spPr>
          <c:invertIfNegative val="0"/>
          <c:dLbls>
            <c:dLbl>
              <c:idx val="0"/>
              <c:layout>
                <c:manualLayout>
                  <c:x val="0"/>
                  <c:y val="-2.7777777777777801E-3"/>
                </c:manualLayout>
              </c:layout>
              <c:tx>
                <c:rich>
                  <a:bodyPr/>
                  <a:lstStyle/>
                  <a:p>
                    <a:r>
                      <a:rPr lang="en-US" altLang="zh-CN"/>
                      <a:t>4213.76</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C87-41E5-AD73-829DD86013FA}"/>
                </c:ext>
              </c:extLst>
            </c:dLbl>
            <c:dLbl>
              <c:idx val="1"/>
              <c:tx>
                <c:rich>
                  <a:bodyPr/>
                  <a:lstStyle/>
                  <a:p>
                    <a:r>
                      <a:rPr lang="en-US" altLang="zh-CN"/>
                      <a:t>5174.7</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C87-41E5-AD73-829DD86013F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(3).xls]Sheet2'!$B$15:$C$15</c:f>
              <c:strCache>
                <c:ptCount val="2"/>
                <c:pt idx="0">
                  <c:v>2019年</c:v>
                </c:pt>
                <c:pt idx="1">
                  <c:v>2020年</c:v>
                </c:pt>
              </c:strCache>
            </c:strRef>
          </c:cat>
          <c:val>
            <c:numRef>
              <c:f>'[新建 XLS 工作表 (3).xls]Sheet2'!$B$16:$C$16</c:f>
              <c:numCache>
                <c:formatCode>General</c:formatCode>
                <c:ptCount val="2"/>
                <c:pt idx="0">
                  <c:v>4213.76</c:v>
                </c:pt>
                <c:pt idx="1">
                  <c:v>5174.7</c:v>
                </c:pt>
              </c:numCache>
            </c:numRef>
          </c:val>
          <c:extLst>
            <c:ext xmlns:c16="http://schemas.microsoft.com/office/drawing/2014/chart" uri="{C3380CC4-5D6E-409C-BE32-E72D297353CC}">
              <c16:uniqueId val="{00000002-0C87-41E5-AD73-829DD86013FA}"/>
            </c:ext>
          </c:extLst>
        </c:ser>
        <c:dLbls>
          <c:showLegendKey val="0"/>
          <c:showVal val="0"/>
          <c:showCatName val="0"/>
          <c:showSerName val="0"/>
          <c:showPercent val="0"/>
          <c:showBubbleSize val="0"/>
        </c:dLbls>
        <c:gapWidth val="219"/>
        <c:overlap val="-27"/>
        <c:axId val="156071986"/>
        <c:axId val="427640741"/>
      </c:barChart>
      <c:catAx>
        <c:axId val="1560719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27640741"/>
        <c:crosses val="autoZero"/>
        <c:auto val="1"/>
        <c:lblAlgn val="ctr"/>
        <c:lblOffset val="100"/>
        <c:noMultiLvlLbl val="0"/>
      </c:catAx>
      <c:valAx>
        <c:axId val="42764074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560719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472222222222"/>
          <c:y val="9.1114738805970194E-2"/>
          <c:w val="0.34772222222222199"/>
          <c:h val="0.58386194029850702"/>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41-47C9-95DB-162E4547A2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41-47C9-95DB-162E4547A2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41-47C9-95DB-162E4547A2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D41-47C9-95DB-162E4547A2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D41-47C9-95DB-162E4547A2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D41-47C9-95DB-162E4547A29A}"/>
              </c:ext>
            </c:extLst>
          </c:dPt>
          <c:dLbls>
            <c:dLbl>
              <c:idx val="0"/>
              <c:layout>
                <c:manualLayout>
                  <c:x val="-0.14375922837476501"/>
                  <c:y val="1.00404256661418E-2"/>
                </c:manualLayout>
              </c:layout>
              <c:tx>
                <c:rich>
                  <a:bodyPr/>
                  <a:lstStyle/>
                  <a:p>
                    <a:r>
                      <a:rPr lang="zh-CN" altLang="en-US"/>
                      <a:t>科学技术支出</a:t>
                    </a:r>
                    <a:r>
                      <a:rPr lang="en-US" altLang="zh-CN"/>
                      <a:t>0.47%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6013888888888897"/>
                      <c:h val="7.7658582089552203E-2"/>
                    </c:manualLayout>
                  </c15:layout>
                  <c15:showDataLabelsRange val="0"/>
                </c:ext>
                <c:ext xmlns:c16="http://schemas.microsoft.com/office/drawing/2014/chart" uri="{C3380CC4-5D6E-409C-BE32-E72D297353CC}">
                  <c16:uniqueId val="{00000001-1D41-47C9-95DB-162E4547A29A}"/>
                </c:ext>
              </c:extLst>
            </c:dLbl>
            <c:dLbl>
              <c:idx val="1"/>
              <c:layout>
                <c:manualLayout>
                  <c:x val="0.16614984221335"/>
                  <c:y val="3.5652509502765203E-2"/>
                </c:manualLayout>
              </c:layout>
              <c:tx>
                <c:rich>
                  <a:bodyPr/>
                  <a:lstStyle/>
                  <a:p>
                    <a:r>
                      <a:rPr lang="zh-CN" altLang="en-US"/>
                      <a:t>社会保障和就业</a:t>
                    </a:r>
                    <a:r>
                      <a:rPr lang="en-US" altLang="zh-CN"/>
                      <a:t>9.46%</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31861111111111101"/>
                      <c:h val="9.0718283582089596E-2"/>
                    </c:manualLayout>
                  </c15:layout>
                  <c15:showDataLabelsRange val="0"/>
                </c:ext>
                <c:ext xmlns:c16="http://schemas.microsoft.com/office/drawing/2014/chart" uri="{C3380CC4-5D6E-409C-BE32-E72D297353CC}">
                  <c16:uniqueId val="{00000003-1D41-47C9-95DB-162E4547A29A}"/>
                </c:ext>
              </c:extLst>
            </c:dLbl>
            <c:dLbl>
              <c:idx val="2"/>
              <c:layout>
                <c:manualLayout>
                  <c:x val="0.16257850335933099"/>
                  <c:y val="0.133084122192938"/>
                </c:manualLayout>
              </c:layout>
              <c:tx>
                <c:rich>
                  <a:bodyPr/>
                  <a:lstStyle/>
                  <a:p>
                    <a:r>
                      <a:rPr lang="zh-CN" altLang="en-US"/>
                      <a:t>卫生健康支出</a:t>
                    </a:r>
                    <a:r>
                      <a:rPr lang="en-US" altLang="zh-CN"/>
                      <a:t>3.01%</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73472222222222"/>
                      <c:h val="0.157882462686567"/>
                    </c:manualLayout>
                  </c15:layout>
                  <c15:showDataLabelsRange val="0"/>
                </c:ext>
                <c:ext xmlns:c16="http://schemas.microsoft.com/office/drawing/2014/chart" uri="{C3380CC4-5D6E-409C-BE32-E72D297353CC}">
                  <c16:uniqueId val="{00000005-1D41-47C9-95DB-162E4547A29A}"/>
                </c:ext>
              </c:extLst>
            </c:dLbl>
            <c:dLbl>
              <c:idx val="3"/>
              <c:layout>
                <c:manualLayout>
                  <c:x val="0.11201442394374"/>
                  <c:y val="0.25847957001685101"/>
                </c:manualLayout>
              </c:layout>
              <c:tx>
                <c:rich>
                  <a:bodyPr/>
                  <a:lstStyle/>
                  <a:p>
                    <a:r>
                      <a:rPr lang="zh-CN" altLang="en-US"/>
                      <a:t>住房保障支出</a:t>
                    </a:r>
                    <a:r>
                      <a:rPr lang="en-US" altLang="zh-CN"/>
                      <a:t>5.87%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74166666666667"/>
                      <c:h val="0.17070895522388099"/>
                    </c:manualLayout>
                  </c15:layout>
                  <c15:showDataLabelsRange val="0"/>
                </c:ext>
                <c:ext xmlns:c16="http://schemas.microsoft.com/office/drawing/2014/chart" uri="{C3380CC4-5D6E-409C-BE32-E72D297353CC}">
                  <c16:uniqueId val="{00000007-1D41-47C9-95DB-162E4547A29A}"/>
                </c:ext>
              </c:extLst>
            </c:dLbl>
            <c:dLbl>
              <c:idx val="4"/>
              <c:layout>
                <c:manualLayout>
                  <c:x val="-0.115"/>
                  <c:y val="-0.19029850746268701"/>
                </c:manualLayout>
              </c:layout>
              <c:tx>
                <c:rich>
                  <a:bodyPr/>
                  <a:lstStyle/>
                  <a:p>
                    <a:r>
                      <a:rPr lang="zh-CN" altLang="en-US"/>
                      <a:t>资源勘探工业信息等支出</a:t>
                    </a:r>
                    <a:r>
                      <a:rPr lang="en-US" altLang="zh-CN"/>
                      <a:t>39.37%</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3569444444444401"/>
                      <c:h val="0.275186567164179"/>
                    </c:manualLayout>
                  </c15:layout>
                  <c15:showDataLabelsRange val="0"/>
                </c:ext>
                <c:ext xmlns:c16="http://schemas.microsoft.com/office/drawing/2014/chart" uri="{C3380CC4-5D6E-409C-BE32-E72D297353CC}">
                  <c16:uniqueId val="{00000009-1D41-47C9-95DB-162E4547A29A}"/>
                </c:ext>
              </c:extLst>
            </c:dLbl>
            <c:dLbl>
              <c:idx val="5"/>
              <c:layout>
                <c:manualLayout>
                  <c:x val="0.13500000000000001"/>
                  <c:y val="7.9578663802379407E-2"/>
                </c:manualLayout>
              </c:layout>
              <c:tx>
                <c:rich>
                  <a:bodyPr/>
                  <a:lstStyle/>
                  <a:p>
                    <a:r>
                      <a:rPr lang="zh-CN" altLang="en-US"/>
                      <a:t>节能环保支出</a:t>
                    </a:r>
                    <a:r>
                      <a:rPr lang="en-US" altLang="zh-CN"/>
                      <a:t>41.81%</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9.1388888888888895E-2"/>
                      <c:h val="0.300139925373134"/>
                    </c:manualLayout>
                  </c15:layout>
                  <c15:showDataLabelsRange val="0"/>
                </c:ext>
                <c:ext xmlns:c16="http://schemas.microsoft.com/office/drawing/2014/chart" uri="{C3380CC4-5D6E-409C-BE32-E72D297353CC}">
                  <c16:uniqueId val="{0000000B-1D41-47C9-95DB-162E4547A29A}"/>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'[新建 XLS 工作表 (3).xls]Sheet2'!$A$21:$A$26</c:f>
              <c:strCache>
                <c:ptCount val="6"/>
                <c:pt idx="0">
                  <c:v>技术科学</c:v>
                </c:pt>
                <c:pt idx="1">
                  <c:v>社会保障和就业</c:v>
                </c:pt>
                <c:pt idx="2">
                  <c:v>卫生健康</c:v>
                </c:pt>
                <c:pt idx="3">
                  <c:v>住房保障支出</c:v>
                </c:pt>
                <c:pt idx="4">
                  <c:v>资源勘探工业信息等支出</c:v>
                </c:pt>
                <c:pt idx="5">
                  <c:v>节能环保支出</c:v>
                </c:pt>
              </c:strCache>
            </c:strRef>
          </c:cat>
          <c:val>
            <c:numRef>
              <c:f>'[新建 XLS 工作表 (3).xls]Sheet2'!$B$21:$B$26</c:f>
              <c:numCache>
                <c:formatCode>0.00%</c:formatCode>
                <c:ptCount val="6"/>
                <c:pt idx="0">
                  <c:v>4.6901269638819597E-3</c:v>
                </c:pt>
                <c:pt idx="1">
                  <c:v>9.4623842928092394E-2</c:v>
                </c:pt>
                <c:pt idx="2">
                  <c:v>3.01022281484917E-2</c:v>
                </c:pt>
                <c:pt idx="3">
                  <c:v>5.8747366997120597E-2</c:v>
                </c:pt>
                <c:pt idx="4">
                  <c:v>0.39370784779793999</c:v>
                </c:pt>
                <c:pt idx="5">
                  <c:v>0.41812858716447299</c:v>
                </c:pt>
              </c:numCache>
            </c:numRef>
          </c:val>
          <c:extLst>
            <c:ext xmlns:c16="http://schemas.microsoft.com/office/drawing/2014/chart" uri="{C3380CC4-5D6E-409C-BE32-E72D297353CC}">
              <c16:uniqueId val="{0000000C-1D41-47C9-95DB-162E4547A29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40</Pages>
  <Words>2634</Words>
  <Characters>15017</Characters>
  <Application>Microsoft Office Word</Application>
  <DocSecurity>0</DocSecurity>
  <Lines>125</Lines>
  <Paragraphs>35</Paragraphs>
  <ScaleCrop>false</ScaleCrop>
  <Company>四川省财政厅</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张 堃</cp:lastModifiedBy>
  <cp:revision>11</cp:revision>
  <cp:lastPrinted>2021-08-18T06:30:00Z</cp:lastPrinted>
  <dcterms:created xsi:type="dcterms:W3CDTF">2022-09-23T03:22:00Z</dcterms:created>
  <dcterms:modified xsi:type="dcterms:W3CDTF">2022-11-11T08:07:00Z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